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A7708" w14:textId="77777777" w:rsidR="00895FF8" w:rsidRPr="009523BB" w:rsidRDefault="00895FF8" w:rsidP="00895FF8">
      <w:pPr>
        <w:spacing w:after="160" w:line="259" w:lineRule="auto"/>
        <w:rPr>
          <w:rFonts w:ascii="Franklin Gothic" w:eastAsia="Franklin Gothic" w:hAnsi="Franklin Gothic" w:cs="Franklin Gothic"/>
        </w:rPr>
      </w:pPr>
      <w:r w:rsidRPr="009523BB">
        <w:rPr>
          <w:rFonts w:eastAsia="Calibri"/>
          <w:noProof/>
        </w:rPr>
        <w:drawing>
          <wp:anchor distT="0" distB="0" distL="114300" distR="114300" simplePos="0" relativeHeight="251658240" behindDoc="1" locked="0" layoutInCell="1" hidden="0" allowOverlap="1" wp14:anchorId="699A2431" wp14:editId="313D9E46">
            <wp:simplePos x="0" y="0"/>
            <wp:positionH relativeFrom="column">
              <wp:posOffset>-55880</wp:posOffset>
            </wp:positionH>
            <wp:positionV relativeFrom="paragraph">
              <wp:posOffset>259080</wp:posOffset>
            </wp:positionV>
            <wp:extent cx="1659890" cy="1061085"/>
            <wp:effectExtent l="0" t="0" r="0" b="5715"/>
            <wp:wrapSquare wrapText="bothSides"/>
            <wp:docPr id="737640082" name="image1.png" descr="A black and blue logo with a hor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737640082" name="image1.png" descr="A black and blue logo with a horse and text&#10;&#10;Description automatically generated"/>
                    <pic:cNvPicPr preferRelativeResize="0"/>
                  </pic:nvPicPr>
                  <pic:blipFill>
                    <a:blip r:embed="rId10"/>
                    <a:srcRect/>
                    <a:stretch>
                      <a:fillRect/>
                    </a:stretch>
                  </pic:blipFill>
                  <pic:spPr>
                    <a:xfrm>
                      <a:off x="0" y="0"/>
                      <a:ext cx="1659890" cy="1061085"/>
                    </a:xfrm>
                    <a:prstGeom prst="rect">
                      <a:avLst/>
                    </a:prstGeom>
                    <a:ln/>
                  </pic:spPr>
                </pic:pic>
              </a:graphicData>
            </a:graphic>
            <wp14:sizeRelH relativeFrom="margin">
              <wp14:pctWidth>0</wp14:pctWidth>
            </wp14:sizeRelH>
            <wp14:sizeRelV relativeFrom="margin">
              <wp14:pctHeight>0</wp14:pctHeight>
            </wp14:sizeRelV>
          </wp:anchor>
        </w:drawing>
      </w:r>
    </w:p>
    <w:p w14:paraId="52F574C7" w14:textId="6086F193" w:rsidR="00895FF8" w:rsidRPr="00895FF8" w:rsidRDefault="00895FF8" w:rsidP="00895FF8">
      <w:pPr>
        <w:widowControl w:val="0"/>
        <w:spacing w:after="160" w:line="258" w:lineRule="auto"/>
        <w:rPr>
          <w:rFonts w:ascii="Gotham Book" w:eastAsia="Franklin Gothic" w:hAnsi="Gotham Book" w:cs="Franklin Gothic"/>
          <w:b/>
          <w:bCs/>
          <w:color w:val="417075"/>
          <w:sz w:val="40"/>
          <w:szCs w:val="42"/>
        </w:rPr>
      </w:pPr>
      <w:r w:rsidRPr="00895FF8">
        <w:rPr>
          <w:rFonts w:ascii="Gotham Book" w:eastAsia="Franklin Gothic" w:hAnsi="Gotham Book" w:cs="Franklin Gothic"/>
          <w:b/>
          <w:bCs/>
          <w:color w:val="417075"/>
          <w:sz w:val="40"/>
          <w:szCs w:val="42"/>
        </w:rPr>
        <w:t>Broadband Equity,</w:t>
      </w:r>
      <w:r>
        <w:rPr>
          <w:rFonts w:ascii="Gotham Book" w:eastAsia="Franklin Gothic" w:hAnsi="Gotham Book" w:cs="Franklin Gothic"/>
          <w:b/>
          <w:bCs/>
          <w:color w:val="417075"/>
          <w:sz w:val="40"/>
          <w:szCs w:val="42"/>
        </w:rPr>
        <w:t xml:space="preserve"> </w:t>
      </w:r>
      <w:r w:rsidRPr="00895FF8">
        <w:rPr>
          <w:rFonts w:ascii="Gotham Book" w:eastAsia="Franklin Gothic" w:hAnsi="Gotham Book" w:cs="Franklin Gothic"/>
          <w:b/>
          <w:bCs/>
          <w:color w:val="417075"/>
          <w:sz w:val="40"/>
          <w:szCs w:val="42"/>
        </w:rPr>
        <w:t>Access, and Deployment (BEAD) Program FAQs</w:t>
      </w:r>
    </w:p>
    <w:p w14:paraId="2D8DCE56" w14:textId="77777777" w:rsidR="00895FF8" w:rsidRPr="000A2B66" w:rsidRDefault="00895FF8" w:rsidP="00895FF8">
      <w:pPr>
        <w:widowControl w:val="0"/>
        <w:spacing w:before="160" w:line="258" w:lineRule="auto"/>
        <w:rPr>
          <w:rFonts w:ascii="Gotham Book" w:eastAsia="Franklin Gothic" w:hAnsi="Gotham Book" w:cs="Franklin Gothic"/>
          <w:b/>
          <w:bCs/>
          <w:color w:val="4C483D"/>
          <w:sz w:val="20"/>
          <w:szCs w:val="20"/>
        </w:rPr>
      </w:pPr>
      <w:r w:rsidRPr="000A2B66">
        <w:rPr>
          <w:rFonts w:ascii="Gotham Book" w:eastAsia="Franklin Gothic" w:hAnsi="Gotham Book" w:cs="Franklin Gothic"/>
          <w:b/>
          <w:bCs/>
          <w:color w:val="4C483D"/>
          <w:sz w:val="20"/>
          <w:szCs w:val="20"/>
        </w:rPr>
        <w:t xml:space="preserve">Answers </w:t>
      </w:r>
      <w:proofErr w:type="gramStart"/>
      <w:r w:rsidRPr="000A2B66">
        <w:rPr>
          <w:rFonts w:ascii="Gotham Book" w:eastAsia="Franklin Gothic" w:hAnsi="Gotham Book" w:cs="Franklin Gothic"/>
          <w:b/>
          <w:bCs/>
          <w:color w:val="4C483D"/>
          <w:sz w:val="20"/>
          <w:szCs w:val="20"/>
        </w:rPr>
        <w:t>are provided</w:t>
      </w:r>
      <w:proofErr w:type="gramEnd"/>
      <w:r w:rsidRPr="000A2B66">
        <w:rPr>
          <w:rFonts w:ascii="Gotham Book" w:eastAsia="Franklin Gothic" w:hAnsi="Gotham Book" w:cs="Franklin Gothic"/>
          <w:b/>
          <w:bCs/>
          <w:color w:val="4C483D"/>
          <w:sz w:val="20"/>
          <w:szCs w:val="20"/>
        </w:rPr>
        <w:t xml:space="preserve"> for the reference of all subgrantee applicants; questions have </w:t>
      </w:r>
      <w:proofErr w:type="gramStart"/>
      <w:r w:rsidRPr="000A2B66">
        <w:rPr>
          <w:rFonts w:ascii="Gotham Book" w:eastAsia="Franklin Gothic" w:hAnsi="Gotham Book" w:cs="Franklin Gothic"/>
          <w:b/>
          <w:bCs/>
          <w:color w:val="4C483D"/>
          <w:sz w:val="20"/>
          <w:szCs w:val="20"/>
        </w:rPr>
        <w:t>been condensed</w:t>
      </w:r>
      <w:proofErr w:type="gramEnd"/>
      <w:r w:rsidRPr="000A2B66">
        <w:rPr>
          <w:rFonts w:ascii="Gotham Book" w:eastAsia="Franklin Gothic" w:hAnsi="Gotham Book" w:cs="Franklin Gothic"/>
          <w:b/>
          <w:bCs/>
          <w:color w:val="4C483D"/>
          <w:sz w:val="20"/>
          <w:szCs w:val="20"/>
        </w:rPr>
        <w:t>, consolidated, and edited for clarity.</w:t>
      </w:r>
    </w:p>
    <w:p w14:paraId="34317D21" w14:textId="77777777" w:rsidR="00895FF8" w:rsidRPr="000A2B66" w:rsidRDefault="00895FF8" w:rsidP="00895FF8">
      <w:pPr>
        <w:spacing w:after="160" w:line="259" w:lineRule="auto"/>
        <w:rPr>
          <w:rFonts w:asciiTheme="minorHAnsi" w:hAnsiTheme="minorHAnsi"/>
          <w:b/>
          <w:bCs/>
          <w:color w:val="4C483D"/>
        </w:rPr>
      </w:pPr>
    </w:p>
    <w:p w14:paraId="7145D08D" w14:textId="5982AACA" w:rsidR="00895FF8" w:rsidRPr="00895FF8" w:rsidRDefault="00895FF8" w:rsidP="0011212D">
      <w:pPr>
        <w:spacing w:after="120"/>
        <w:ind w:left="907" w:hanging="907"/>
        <w:rPr>
          <w:rFonts w:ascii="Gotham Book" w:hAnsi="Gotham Book"/>
        </w:rPr>
      </w:pPr>
      <w:r w:rsidRPr="00895FF8">
        <w:rPr>
          <w:rFonts w:ascii="Gotham Book" w:hAnsi="Gotham Book"/>
          <w:b/>
          <w:bCs/>
        </w:rPr>
        <w:t>Question:</w:t>
      </w:r>
      <w:r w:rsidRPr="00895FF8">
        <w:rPr>
          <w:rFonts w:ascii="Gotham Book" w:hAnsi="Gotham Book"/>
        </w:rPr>
        <w:t xml:space="preserve"> </w:t>
      </w:r>
      <w:r w:rsidRPr="00950DB6">
        <w:rPr>
          <w:rFonts w:ascii="Gotham Book" w:hAnsi="Gotham Book"/>
          <w:b/>
          <w:bCs/>
        </w:rPr>
        <w:t>Why is the state requiring applicants to submit detailed information about the capabilities of their proposed networks?</w:t>
      </w:r>
    </w:p>
    <w:p w14:paraId="1E5EA18B" w14:textId="71593F51" w:rsidR="00895FF8" w:rsidRPr="00895FF8" w:rsidRDefault="00895FF8" w:rsidP="0011212D">
      <w:pPr>
        <w:spacing w:after="160"/>
        <w:rPr>
          <w:rFonts w:ascii="Gotham Book" w:hAnsi="Gotham Book"/>
        </w:rPr>
      </w:pPr>
      <w:r w:rsidRPr="00895FF8">
        <w:rPr>
          <w:rFonts w:ascii="Gotham Book" w:hAnsi="Gotham Book"/>
          <w:b/>
          <w:bCs/>
        </w:rPr>
        <w:t>Answer:</w:t>
      </w:r>
      <w:r w:rsidRPr="00895FF8">
        <w:rPr>
          <w:rFonts w:ascii="Gotham Book" w:hAnsi="Gotham Book"/>
        </w:rPr>
        <w:t xml:space="preserve"> The NTIA’s </w:t>
      </w:r>
      <w:hyperlink r:id="rId11" w:tgtFrame="_blank" w:history="1">
        <w:r w:rsidRPr="00895FF8">
          <w:rPr>
            <w:rStyle w:val="Hyperlink"/>
            <w:rFonts w:ascii="Gotham Book" w:hAnsi="Gotham Book"/>
          </w:rPr>
          <w:t>BEAD Restructuring Policy Notice</w:t>
        </w:r>
      </w:hyperlink>
      <w:r w:rsidRPr="00895FF8">
        <w:rPr>
          <w:rFonts w:ascii="Gotham Book" w:hAnsi="Gotham Book"/>
        </w:rPr>
        <w:t xml:space="preserve"> requires that states determine on a project-by-project basis whether the proposed network meets the statutory definition of a Priority project.</w:t>
      </w:r>
    </w:p>
    <w:p w14:paraId="2F680FC3" w14:textId="4597F330" w:rsidR="00895FF8" w:rsidRPr="00895FF8" w:rsidRDefault="00895FF8" w:rsidP="0011212D">
      <w:pPr>
        <w:spacing w:after="160"/>
        <w:rPr>
          <w:rFonts w:ascii="Gotham Book" w:hAnsi="Gotham Book"/>
        </w:rPr>
      </w:pPr>
      <w:r w:rsidRPr="00895FF8">
        <w:rPr>
          <w:rFonts w:ascii="Gotham Book" w:hAnsi="Gotham Book"/>
        </w:rPr>
        <w:t>The Policy Notice states: “The term ‘Priority Broadband Project’ means a project that provides broadband service at speeds of no less than 100 megabits per second for downloads and 20 megabits per second for uploads, has a latency less than or equal to 100 milliseconds, and can easily scale speeds over time to meet the evolving connectivity needs of households and businesses and support the deployment of 5G, successor wireless technologies, and other advanced services” (Policy Notice, p. 9).</w:t>
      </w:r>
    </w:p>
    <w:p w14:paraId="46318382" w14:textId="76FA1C96" w:rsidR="00895FF8" w:rsidRPr="00895FF8" w:rsidRDefault="00895FF8" w:rsidP="0011212D">
      <w:pPr>
        <w:spacing w:after="160"/>
        <w:rPr>
          <w:rFonts w:ascii="Gotham Book" w:hAnsi="Gotham Book"/>
        </w:rPr>
      </w:pPr>
      <w:r w:rsidRPr="00895FF8">
        <w:rPr>
          <w:rFonts w:ascii="Gotham Book" w:hAnsi="Gotham Book"/>
        </w:rPr>
        <w:t xml:space="preserve">According to the Policy Notice: “Applicants must provide supporting documentation sufficient for the </w:t>
      </w:r>
      <w:r w:rsidR="006E1110">
        <w:rPr>
          <w:rFonts w:ascii="Gotham Book" w:hAnsi="Gotham Book"/>
        </w:rPr>
        <w:t>[state]</w:t>
      </w:r>
      <w:r w:rsidRPr="00895FF8">
        <w:rPr>
          <w:rFonts w:ascii="Gotham Book" w:hAnsi="Gotham Book"/>
        </w:rPr>
        <w:t xml:space="preserve"> to assess the network application and determine that the proposed network architecture for each specific project area meets this standard” (Policy Notice, p. 9). </w:t>
      </w:r>
    </w:p>
    <w:p w14:paraId="748ED9A1" w14:textId="635680C3" w:rsidR="00895FF8" w:rsidRPr="00895FF8" w:rsidRDefault="00895FF8" w:rsidP="00895FF8">
      <w:pPr>
        <w:rPr>
          <w:rFonts w:ascii="Gotham Book" w:hAnsi="Gotham Book"/>
        </w:rPr>
      </w:pPr>
      <w:r w:rsidRPr="00895FF8">
        <w:rPr>
          <w:rFonts w:ascii="Gotham Book" w:hAnsi="Gotham Book"/>
        </w:rPr>
        <w:t xml:space="preserve">As a result, the state </w:t>
      </w:r>
      <w:proofErr w:type="gramStart"/>
      <w:r w:rsidRPr="00895FF8">
        <w:rPr>
          <w:rFonts w:ascii="Gotham Book" w:hAnsi="Gotham Book"/>
        </w:rPr>
        <w:t>is obligated</w:t>
      </w:r>
      <w:proofErr w:type="gramEnd"/>
      <w:r w:rsidRPr="00895FF8">
        <w:rPr>
          <w:rFonts w:ascii="Gotham Book" w:hAnsi="Gotham Book"/>
        </w:rPr>
        <w:t xml:space="preserve"> to conduct a full and rigorous analysis of each proposed application that seeks to </w:t>
      </w:r>
      <w:proofErr w:type="gramStart"/>
      <w:r w:rsidRPr="00895FF8">
        <w:rPr>
          <w:rFonts w:ascii="Gotham Book" w:hAnsi="Gotham Book"/>
        </w:rPr>
        <w:t>be considered</w:t>
      </w:r>
      <w:proofErr w:type="gramEnd"/>
      <w:r w:rsidRPr="00895FF8">
        <w:rPr>
          <w:rFonts w:ascii="Gotham Book" w:hAnsi="Gotham Book"/>
        </w:rPr>
        <w:t xml:space="preserve"> as a Priority project to determine whether the proposed network meets the definition. The data requested </w:t>
      </w:r>
      <w:proofErr w:type="gramStart"/>
      <w:r w:rsidRPr="00895FF8">
        <w:rPr>
          <w:rFonts w:ascii="Gotham Book" w:hAnsi="Gotham Book"/>
        </w:rPr>
        <w:t>are intended</w:t>
      </w:r>
      <w:proofErr w:type="gramEnd"/>
      <w:r w:rsidRPr="00895FF8">
        <w:rPr>
          <w:rFonts w:ascii="Gotham Book" w:hAnsi="Gotham Book"/>
        </w:rPr>
        <w:t xml:space="preserve"> to enable the state to conduct this analysis on a data-driven basis applied equally to all </w:t>
      </w:r>
      <w:r w:rsidR="00776951">
        <w:rPr>
          <w:rFonts w:ascii="Gotham Book" w:hAnsi="Gotham Book"/>
        </w:rPr>
        <w:t>applications</w:t>
      </w:r>
      <w:r w:rsidRPr="00895FF8">
        <w:rPr>
          <w:rFonts w:ascii="Gotham Book" w:hAnsi="Gotham Book"/>
        </w:rPr>
        <w:t>. </w:t>
      </w:r>
    </w:p>
    <w:p w14:paraId="273FF9AA" w14:textId="77777777" w:rsidR="00895FF8" w:rsidRPr="00895FF8" w:rsidRDefault="00895FF8" w:rsidP="00895FF8">
      <w:pPr>
        <w:rPr>
          <w:rFonts w:ascii="Gotham Book" w:hAnsi="Gotham Book"/>
        </w:rPr>
      </w:pPr>
      <w:r w:rsidRPr="00895FF8">
        <w:rPr>
          <w:rFonts w:ascii="Gotham Book" w:hAnsi="Gotham Book"/>
        </w:rPr>
        <w:t> </w:t>
      </w:r>
    </w:p>
    <w:p w14:paraId="5C59B21E" w14:textId="77777777" w:rsidR="00895FF8" w:rsidRPr="0011212D" w:rsidRDefault="00895FF8" w:rsidP="0011212D">
      <w:pPr>
        <w:spacing w:after="120"/>
        <w:ind w:left="907" w:hanging="907"/>
        <w:rPr>
          <w:rFonts w:ascii="Gotham Book" w:hAnsi="Gotham Book"/>
          <w:b/>
        </w:rPr>
      </w:pPr>
      <w:r w:rsidRPr="00895FF8">
        <w:rPr>
          <w:rFonts w:ascii="Gotham Book" w:hAnsi="Gotham Book"/>
          <w:b/>
          <w:bCs/>
        </w:rPr>
        <w:t>Question:</w:t>
      </w:r>
      <w:r w:rsidRPr="0011212D">
        <w:rPr>
          <w:rFonts w:ascii="Gotham Book" w:hAnsi="Gotham Book"/>
          <w:b/>
        </w:rPr>
        <w:t xml:space="preserve"> </w:t>
      </w:r>
      <w:r w:rsidRPr="00950DB6">
        <w:rPr>
          <w:rFonts w:ascii="Gotham Book" w:hAnsi="Gotham Book"/>
          <w:b/>
          <w:bCs/>
        </w:rPr>
        <w:t>Why are the data requirements for describing our proposed networks so extensive?</w:t>
      </w:r>
      <w:r w:rsidRPr="0011212D">
        <w:rPr>
          <w:rFonts w:ascii="Gotham Book" w:hAnsi="Gotham Book"/>
          <w:b/>
        </w:rPr>
        <w:t> </w:t>
      </w:r>
    </w:p>
    <w:p w14:paraId="78130E0C" w14:textId="12ACD070" w:rsidR="00895FF8" w:rsidRPr="00895FF8" w:rsidRDefault="00895FF8" w:rsidP="0011212D">
      <w:pPr>
        <w:spacing w:after="160"/>
        <w:rPr>
          <w:rFonts w:ascii="Gotham Book" w:hAnsi="Gotham Book"/>
        </w:rPr>
      </w:pPr>
      <w:r w:rsidRPr="00895FF8">
        <w:rPr>
          <w:rFonts w:ascii="Gotham Book" w:hAnsi="Gotham Book"/>
          <w:b/>
          <w:bCs/>
        </w:rPr>
        <w:t>Answer:</w:t>
      </w:r>
      <w:r w:rsidRPr="00895FF8">
        <w:rPr>
          <w:rFonts w:ascii="Gotham Book" w:hAnsi="Gotham Book"/>
        </w:rPr>
        <w:t xml:space="preserve"> The data requirements are designed to enable the state to comply with the federal requirement established in the Policy Notice (“Applicants must provide supporting documentation sufficient for the </w:t>
      </w:r>
      <w:r w:rsidR="00114DF9">
        <w:rPr>
          <w:rFonts w:ascii="Gotham Book" w:hAnsi="Gotham Book"/>
        </w:rPr>
        <w:t>[state]</w:t>
      </w:r>
      <w:r w:rsidRPr="00895FF8">
        <w:rPr>
          <w:rFonts w:ascii="Gotham Book" w:hAnsi="Gotham Book"/>
        </w:rPr>
        <w:t xml:space="preserve"> to assess the network application and determine that the proposed network architecture for each specific project area meets this standard” (p. 9)) while being as low burden as possible for applicants.</w:t>
      </w:r>
    </w:p>
    <w:p w14:paraId="6D52B1D5" w14:textId="67FB9345" w:rsidR="00895FF8" w:rsidRPr="00895FF8" w:rsidRDefault="00895FF8" w:rsidP="0011212D">
      <w:pPr>
        <w:spacing w:after="160"/>
        <w:rPr>
          <w:rFonts w:ascii="Gotham Book" w:hAnsi="Gotham Book"/>
        </w:rPr>
      </w:pPr>
      <w:r w:rsidRPr="00895FF8">
        <w:rPr>
          <w:rFonts w:ascii="Gotham Book" w:hAnsi="Gotham Book"/>
        </w:rPr>
        <w:t>The data requested are elements that an applicant would use (regardless of the type of technology it proposes) to develop a conceptual-level design sufficient to submit a grant application and to determine the grant amount requested.</w:t>
      </w:r>
      <w:r w:rsidR="00786D3B">
        <w:rPr>
          <w:rFonts w:ascii="Gotham Book" w:hAnsi="Gotham Book"/>
        </w:rPr>
        <w:t xml:space="preserve"> </w:t>
      </w:r>
      <w:proofErr w:type="gramStart"/>
      <w:r w:rsidRPr="00895FF8">
        <w:rPr>
          <w:rFonts w:ascii="Gotham Book" w:hAnsi="Gotham Book"/>
        </w:rPr>
        <w:t>Much</w:t>
      </w:r>
      <w:proofErr w:type="gramEnd"/>
      <w:r w:rsidRPr="00895FF8">
        <w:rPr>
          <w:rFonts w:ascii="Gotham Book" w:hAnsi="Gotham Book"/>
        </w:rPr>
        <w:t xml:space="preserve"> of the data requested, including on a BSL-by-BSL basis, can </w:t>
      </w:r>
      <w:proofErr w:type="gramStart"/>
      <w:r w:rsidRPr="00895FF8">
        <w:rPr>
          <w:rFonts w:ascii="Gotham Book" w:hAnsi="Gotham Book"/>
        </w:rPr>
        <w:t>be copied</w:t>
      </w:r>
      <w:proofErr w:type="gramEnd"/>
      <w:r w:rsidRPr="00895FF8">
        <w:rPr>
          <w:rFonts w:ascii="Gotham Book" w:hAnsi="Gotham Book"/>
        </w:rPr>
        <w:t xml:space="preserve"> and pasted from typical </w:t>
      </w:r>
      <w:r w:rsidRPr="00895FF8">
        <w:rPr>
          <w:rFonts w:ascii="Gotham Book" w:hAnsi="Gotham Book"/>
        </w:rPr>
        <w:lastRenderedPageBreak/>
        <w:t xml:space="preserve">modeling tools that </w:t>
      </w:r>
      <w:proofErr w:type="gramStart"/>
      <w:r w:rsidRPr="00895FF8">
        <w:rPr>
          <w:rFonts w:ascii="Gotham Book" w:hAnsi="Gotham Book"/>
        </w:rPr>
        <w:t>are used</w:t>
      </w:r>
      <w:proofErr w:type="gramEnd"/>
      <w:r w:rsidRPr="00895FF8">
        <w:rPr>
          <w:rFonts w:ascii="Gotham Book" w:hAnsi="Gotham Book"/>
        </w:rPr>
        <w:t xml:space="preserve"> to design a network for the purpose of submitting a grant application.</w:t>
      </w:r>
    </w:p>
    <w:p w14:paraId="187D1FC8" w14:textId="299E58E6" w:rsidR="00895FF8" w:rsidRPr="00EA4BCB" w:rsidRDefault="00895FF8" w:rsidP="00895FF8">
      <w:pPr>
        <w:rPr>
          <w:rFonts w:ascii="Gotham Book" w:hAnsi="Gotham Book"/>
        </w:rPr>
      </w:pPr>
      <w:r w:rsidRPr="00895FF8">
        <w:rPr>
          <w:rFonts w:ascii="Gotham Book" w:hAnsi="Gotham Book"/>
        </w:rPr>
        <w:t xml:space="preserve">The data requested </w:t>
      </w:r>
      <w:proofErr w:type="gramStart"/>
      <w:r w:rsidRPr="00895FF8">
        <w:rPr>
          <w:rFonts w:ascii="Gotham Book" w:hAnsi="Gotham Book"/>
        </w:rPr>
        <w:t>represent</w:t>
      </w:r>
      <w:proofErr w:type="gramEnd"/>
      <w:r w:rsidRPr="00895FF8">
        <w:rPr>
          <w:rFonts w:ascii="Gotham Book" w:hAnsi="Gotham Book"/>
        </w:rPr>
        <w:t xml:space="preserve"> a necessary element of the state’s consideration of all </w:t>
      </w:r>
      <w:r w:rsidRPr="00EA4BCB">
        <w:rPr>
          <w:rFonts w:ascii="Gotham Book" w:hAnsi="Gotham Book"/>
        </w:rPr>
        <w:t xml:space="preserve">grant applications. Applications submitted without sufficient data to analyze whether </w:t>
      </w:r>
      <w:r w:rsidR="004D0897">
        <w:rPr>
          <w:rFonts w:ascii="Gotham Book" w:hAnsi="Gotham Book"/>
        </w:rPr>
        <w:t xml:space="preserve">a proposed project </w:t>
      </w:r>
      <w:r w:rsidRPr="00EA4BCB">
        <w:rPr>
          <w:rFonts w:ascii="Gotham Book" w:hAnsi="Gotham Book"/>
        </w:rPr>
        <w:t xml:space="preserve">meets the definition of a Priority Broadband Project will not </w:t>
      </w:r>
      <w:proofErr w:type="gramStart"/>
      <w:r w:rsidRPr="00EA4BCB">
        <w:rPr>
          <w:rFonts w:ascii="Gotham Book" w:hAnsi="Gotham Book"/>
        </w:rPr>
        <w:t>be treated</w:t>
      </w:r>
      <w:proofErr w:type="gramEnd"/>
      <w:r w:rsidRPr="00EA4BCB">
        <w:rPr>
          <w:rFonts w:ascii="Gotham Book" w:hAnsi="Gotham Book"/>
        </w:rPr>
        <w:t xml:space="preserve"> as Priority in the project selection process</w:t>
      </w:r>
      <w:r w:rsidR="009E303D">
        <w:rPr>
          <w:rFonts w:ascii="Gotham Book" w:hAnsi="Gotham Book"/>
        </w:rPr>
        <w:t>, in compliance with</w:t>
      </w:r>
      <w:r w:rsidRPr="00EA4BCB">
        <w:rPr>
          <w:rFonts w:ascii="Gotham Book" w:hAnsi="Gotham Book"/>
        </w:rPr>
        <w:t xml:space="preserve"> the federal requirement that states conduct this analysis. </w:t>
      </w:r>
    </w:p>
    <w:p w14:paraId="4EF0BD9C" w14:textId="77777777" w:rsidR="00EE448A" w:rsidRPr="00EA4BCB" w:rsidRDefault="00EE448A">
      <w:pPr>
        <w:rPr>
          <w:rFonts w:ascii="Gotham Book" w:hAnsi="Gotham Book"/>
        </w:rPr>
      </w:pPr>
    </w:p>
    <w:p w14:paraId="3869701A" w14:textId="7486B6E9" w:rsidR="00EA4BCB" w:rsidRDefault="00EA4BCB" w:rsidP="009E0B24">
      <w:pPr>
        <w:keepNext/>
        <w:spacing w:after="120"/>
        <w:ind w:left="907" w:hanging="907"/>
        <w:rPr>
          <w:rFonts w:ascii="Gotham Book" w:hAnsi="Gotham Book"/>
          <w:b/>
          <w:bCs/>
        </w:rPr>
      </w:pPr>
      <w:r w:rsidRPr="00EA4BCB">
        <w:rPr>
          <w:rFonts w:ascii="Gotham Book" w:hAnsi="Gotham Book"/>
          <w:b/>
          <w:bCs/>
        </w:rPr>
        <w:t>Question:</w:t>
      </w:r>
      <w:r w:rsidR="00BA1054">
        <w:rPr>
          <w:rFonts w:ascii="Gotham Book" w:hAnsi="Gotham Book"/>
          <w:b/>
          <w:bCs/>
        </w:rPr>
        <w:t xml:space="preserve"> Is the high-cost threshold calculated by location or as an average by Project Area? </w:t>
      </w:r>
    </w:p>
    <w:p w14:paraId="53380CCE" w14:textId="4E8408CC" w:rsidR="00BA1054" w:rsidRPr="00BE701D" w:rsidRDefault="00BA1054">
      <w:pPr>
        <w:rPr>
          <w:rFonts w:ascii="Gotham Book" w:hAnsi="Gotham Book"/>
        </w:rPr>
      </w:pPr>
      <w:r>
        <w:rPr>
          <w:rFonts w:ascii="Gotham Book" w:hAnsi="Gotham Book"/>
          <w:b/>
          <w:bCs/>
        </w:rPr>
        <w:t xml:space="preserve">Answer: </w:t>
      </w:r>
      <w:r w:rsidR="00453ED6">
        <w:rPr>
          <w:rFonts w:ascii="Gotham Book" w:hAnsi="Gotham Book"/>
        </w:rPr>
        <w:t xml:space="preserve">It </w:t>
      </w:r>
      <w:proofErr w:type="gramStart"/>
      <w:r w:rsidR="00453ED6">
        <w:rPr>
          <w:rFonts w:ascii="Gotham Book" w:hAnsi="Gotham Book"/>
        </w:rPr>
        <w:t>is calculated</w:t>
      </w:r>
      <w:proofErr w:type="gramEnd"/>
      <w:r w:rsidR="00453ED6">
        <w:rPr>
          <w:rFonts w:ascii="Gotham Book" w:hAnsi="Gotham Book"/>
        </w:rPr>
        <w:t xml:space="preserve"> as an average of the Project Area. </w:t>
      </w:r>
    </w:p>
    <w:p w14:paraId="7C875A4B" w14:textId="77777777" w:rsidR="00BA1054" w:rsidRDefault="00BA1054">
      <w:pPr>
        <w:rPr>
          <w:rFonts w:ascii="Gotham Book" w:hAnsi="Gotham Book"/>
        </w:rPr>
      </w:pPr>
    </w:p>
    <w:p w14:paraId="417A351C" w14:textId="5A7E8CEB" w:rsidR="008A601A" w:rsidRDefault="008A601A" w:rsidP="0011212D">
      <w:pPr>
        <w:keepNext/>
        <w:spacing w:after="120"/>
        <w:ind w:left="907" w:hanging="907"/>
        <w:rPr>
          <w:rFonts w:ascii="Gotham Book" w:hAnsi="Gotham Book"/>
          <w:b/>
          <w:bCs/>
        </w:rPr>
      </w:pPr>
      <w:r>
        <w:rPr>
          <w:rFonts w:ascii="Gotham Book" w:hAnsi="Gotham Book"/>
          <w:b/>
          <w:bCs/>
        </w:rPr>
        <w:t>Question: If an applicant submitted a Priority application</w:t>
      </w:r>
      <w:r w:rsidR="00085DC7">
        <w:rPr>
          <w:rFonts w:ascii="Gotham Book" w:hAnsi="Gotham Book"/>
          <w:b/>
          <w:bCs/>
        </w:rPr>
        <w:t xml:space="preserve"> previously, will an update </w:t>
      </w:r>
      <w:proofErr w:type="gramStart"/>
      <w:r w:rsidR="00085DC7">
        <w:rPr>
          <w:rFonts w:ascii="Gotham Book" w:hAnsi="Gotham Book"/>
          <w:b/>
          <w:bCs/>
        </w:rPr>
        <w:t>be required</w:t>
      </w:r>
      <w:proofErr w:type="gramEnd"/>
      <w:r w:rsidR="00085DC7">
        <w:rPr>
          <w:rFonts w:ascii="Gotham Book" w:hAnsi="Gotham Book"/>
          <w:b/>
          <w:bCs/>
        </w:rPr>
        <w:t xml:space="preserve">? </w:t>
      </w:r>
    </w:p>
    <w:p w14:paraId="0C5EA714" w14:textId="69281F30" w:rsidR="00085DC7" w:rsidRPr="00C052E6" w:rsidRDefault="00085DC7">
      <w:pPr>
        <w:rPr>
          <w:rFonts w:ascii="Gotham Book" w:hAnsi="Gotham Book"/>
        </w:rPr>
      </w:pPr>
      <w:r>
        <w:rPr>
          <w:rFonts w:ascii="Gotham Book" w:hAnsi="Gotham Book"/>
          <w:b/>
          <w:bCs/>
        </w:rPr>
        <w:t xml:space="preserve">Answer: </w:t>
      </w:r>
      <w:r w:rsidR="00C052E6">
        <w:rPr>
          <w:rFonts w:ascii="Gotham Book" w:hAnsi="Gotham Book"/>
        </w:rPr>
        <w:t>Yes, all applica</w:t>
      </w:r>
      <w:r w:rsidR="00D931E5">
        <w:rPr>
          <w:rFonts w:ascii="Gotham Book" w:hAnsi="Gotham Book"/>
        </w:rPr>
        <w:t xml:space="preserve">tions previously submitted will require updates based on </w:t>
      </w:r>
      <w:r w:rsidR="001C20F9">
        <w:rPr>
          <w:rFonts w:ascii="Gotham Book" w:hAnsi="Gotham Book"/>
        </w:rPr>
        <w:t xml:space="preserve">new </w:t>
      </w:r>
      <w:r w:rsidR="00302305">
        <w:rPr>
          <w:rFonts w:ascii="Gotham Book" w:hAnsi="Gotham Book"/>
        </w:rPr>
        <w:t xml:space="preserve">requirements in the </w:t>
      </w:r>
      <w:r w:rsidR="00E62132">
        <w:rPr>
          <w:rFonts w:ascii="Gotham Book" w:hAnsi="Gotham Book"/>
        </w:rPr>
        <w:t xml:space="preserve">NTIA’s </w:t>
      </w:r>
      <w:hyperlink r:id="rId12" w:history="1">
        <w:r w:rsidR="00302305" w:rsidRPr="00E62132">
          <w:rPr>
            <w:rStyle w:val="Hyperlink"/>
            <w:rFonts w:ascii="Gotham Book" w:hAnsi="Gotham Book"/>
          </w:rPr>
          <w:t>Policy Notice</w:t>
        </w:r>
      </w:hyperlink>
      <w:r w:rsidR="001C20F9">
        <w:rPr>
          <w:rFonts w:ascii="Gotham Book" w:hAnsi="Gotham Book"/>
        </w:rPr>
        <w:t xml:space="preserve">. Applicants should reference </w:t>
      </w:r>
      <w:r w:rsidR="00C85E4F">
        <w:rPr>
          <w:rFonts w:ascii="Gotham Book" w:hAnsi="Gotham Book"/>
        </w:rPr>
        <w:t xml:space="preserve">WBO’s </w:t>
      </w:r>
      <w:r w:rsidR="001C20F9">
        <w:rPr>
          <w:rFonts w:ascii="Gotham Book" w:hAnsi="Gotham Book"/>
        </w:rPr>
        <w:t>updated Applica</w:t>
      </w:r>
      <w:r w:rsidR="00085A2B">
        <w:rPr>
          <w:rFonts w:ascii="Gotham Book" w:hAnsi="Gotham Book"/>
        </w:rPr>
        <w:t>tion</w:t>
      </w:r>
      <w:r w:rsidR="001C20F9">
        <w:rPr>
          <w:rFonts w:ascii="Gotham Book" w:hAnsi="Gotham Book"/>
        </w:rPr>
        <w:t xml:space="preserve"> Guide</w:t>
      </w:r>
      <w:r w:rsidR="003F1BC2">
        <w:rPr>
          <w:rFonts w:ascii="Gotham Book" w:hAnsi="Gotham Book"/>
        </w:rPr>
        <w:t xml:space="preserve"> (version 2.0)</w:t>
      </w:r>
      <w:r w:rsidR="00AC1CF2">
        <w:rPr>
          <w:rFonts w:ascii="Gotham Book" w:hAnsi="Gotham Book"/>
        </w:rPr>
        <w:t xml:space="preserve"> to understand how to update applications to align with the new program requirements. </w:t>
      </w:r>
      <w:r w:rsidR="004F781A">
        <w:rPr>
          <w:rFonts w:ascii="Gotham Book" w:hAnsi="Gotham Book"/>
        </w:rPr>
        <w:t>Applicants who want to identify their projects as “Priority”</w:t>
      </w:r>
      <w:r w:rsidR="000C4643">
        <w:rPr>
          <w:rFonts w:ascii="Gotham Book" w:hAnsi="Gotham Book"/>
        </w:rPr>
        <w:t xml:space="preserve"> must </w:t>
      </w:r>
      <w:r w:rsidR="00B3661D">
        <w:rPr>
          <w:rFonts w:ascii="Gotham Book" w:hAnsi="Gotham Book"/>
        </w:rPr>
        <w:t xml:space="preserve">update their response to Q1.1 and submit the relevant Priority technical templates. </w:t>
      </w:r>
    </w:p>
    <w:p w14:paraId="21C71D99" w14:textId="77777777" w:rsidR="00085DC7" w:rsidRDefault="00085DC7">
      <w:pPr>
        <w:rPr>
          <w:rFonts w:ascii="Gotham Book" w:hAnsi="Gotham Book"/>
        </w:rPr>
      </w:pPr>
    </w:p>
    <w:p w14:paraId="64646F86" w14:textId="6B3EA5E6" w:rsidR="00BA1054" w:rsidRDefault="00352DBF" w:rsidP="0011212D">
      <w:pPr>
        <w:keepNext/>
        <w:spacing w:after="120"/>
        <w:ind w:left="907" w:hanging="907"/>
        <w:rPr>
          <w:rFonts w:ascii="Gotham Book" w:hAnsi="Gotham Book"/>
          <w:b/>
          <w:bCs/>
        </w:rPr>
      </w:pPr>
      <w:r>
        <w:rPr>
          <w:rFonts w:ascii="Gotham Book" w:hAnsi="Gotham Book"/>
          <w:b/>
          <w:bCs/>
        </w:rPr>
        <w:t xml:space="preserve">Question: Will information from prior applications be </w:t>
      </w:r>
      <w:proofErr w:type="gramStart"/>
      <w:r>
        <w:rPr>
          <w:rFonts w:ascii="Gotham Book" w:hAnsi="Gotham Book"/>
          <w:b/>
          <w:bCs/>
        </w:rPr>
        <w:t>auto-populated</w:t>
      </w:r>
      <w:proofErr w:type="gramEnd"/>
      <w:r w:rsidR="00355DA1">
        <w:rPr>
          <w:rFonts w:ascii="Gotham Book" w:hAnsi="Gotham Book"/>
          <w:b/>
          <w:bCs/>
        </w:rPr>
        <w:t xml:space="preserve"> in the portal</w:t>
      </w:r>
      <w:r>
        <w:rPr>
          <w:rFonts w:ascii="Gotham Book" w:hAnsi="Gotham Book"/>
          <w:b/>
          <w:bCs/>
        </w:rPr>
        <w:t xml:space="preserve">? </w:t>
      </w:r>
    </w:p>
    <w:p w14:paraId="5DB728B1" w14:textId="49CC6CA3" w:rsidR="00352DBF" w:rsidRPr="00886304" w:rsidRDefault="00352DBF">
      <w:pPr>
        <w:rPr>
          <w:rFonts w:ascii="Gotham Book" w:hAnsi="Gotham Book"/>
        </w:rPr>
      </w:pPr>
      <w:r>
        <w:rPr>
          <w:rFonts w:ascii="Gotham Book" w:hAnsi="Gotham Book"/>
          <w:b/>
          <w:bCs/>
        </w:rPr>
        <w:t xml:space="preserve">Answer: </w:t>
      </w:r>
      <w:r w:rsidR="00064C74">
        <w:rPr>
          <w:rFonts w:ascii="Gotham Book" w:hAnsi="Gotham Book"/>
        </w:rPr>
        <w:t xml:space="preserve">If applicants are revising previously submitted materials, their prior uploads and responses will </w:t>
      </w:r>
      <w:proofErr w:type="gramStart"/>
      <w:r w:rsidR="00064C74">
        <w:rPr>
          <w:rFonts w:ascii="Gotham Book" w:hAnsi="Gotham Book"/>
        </w:rPr>
        <w:t>be saved</w:t>
      </w:r>
      <w:proofErr w:type="gramEnd"/>
      <w:r w:rsidR="00584786">
        <w:rPr>
          <w:rFonts w:ascii="Gotham Book" w:hAnsi="Gotham Book"/>
        </w:rPr>
        <w:t xml:space="preserve"> within the application. </w:t>
      </w:r>
      <w:r w:rsidR="00A72D9C">
        <w:rPr>
          <w:rFonts w:ascii="Gotham Book" w:hAnsi="Gotham Book"/>
        </w:rPr>
        <w:t xml:space="preserve">If applicants are starting new applications, responses from other previously submitted applications will not be auto-populated. </w:t>
      </w:r>
    </w:p>
    <w:p w14:paraId="3E61878D" w14:textId="77777777" w:rsidR="00352DBF" w:rsidRDefault="00352DBF">
      <w:pPr>
        <w:rPr>
          <w:rFonts w:ascii="Gotham Book" w:hAnsi="Gotham Book"/>
        </w:rPr>
      </w:pPr>
    </w:p>
    <w:p w14:paraId="12C98191" w14:textId="6469E911" w:rsidR="00352DBF" w:rsidRDefault="00352DBF" w:rsidP="0011212D">
      <w:pPr>
        <w:keepNext/>
        <w:spacing w:after="120"/>
        <w:ind w:left="907" w:hanging="907"/>
        <w:rPr>
          <w:rFonts w:ascii="Gotham Book" w:hAnsi="Gotham Book"/>
          <w:b/>
          <w:bCs/>
        </w:rPr>
      </w:pPr>
      <w:r>
        <w:rPr>
          <w:rFonts w:ascii="Gotham Book" w:hAnsi="Gotham Book"/>
          <w:b/>
          <w:bCs/>
        </w:rPr>
        <w:t xml:space="preserve">Question: For existing applications, will a prior PE certification for network design need additional review for unchanged elements based on new submission </w:t>
      </w:r>
      <w:r w:rsidR="003221F4">
        <w:rPr>
          <w:rFonts w:ascii="Gotham Book" w:hAnsi="Gotham Book"/>
          <w:b/>
          <w:bCs/>
        </w:rPr>
        <w:t>requirements?</w:t>
      </w:r>
    </w:p>
    <w:p w14:paraId="1B7741C7" w14:textId="2C2486FF" w:rsidR="00085DC7" w:rsidRDefault="00085DC7">
      <w:pPr>
        <w:rPr>
          <w:rFonts w:ascii="Gotham Book" w:hAnsi="Gotham Book"/>
        </w:rPr>
      </w:pPr>
      <w:r>
        <w:rPr>
          <w:rFonts w:ascii="Gotham Book" w:hAnsi="Gotham Book"/>
          <w:b/>
          <w:bCs/>
        </w:rPr>
        <w:t xml:space="preserve">Answer: </w:t>
      </w:r>
      <w:r w:rsidR="003D1FEE">
        <w:rPr>
          <w:rFonts w:ascii="Gotham Book" w:hAnsi="Gotham Book"/>
        </w:rPr>
        <w:t xml:space="preserve">No, if a network design </w:t>
      </w:r>
      <w:r w:rsidR="006A2B5D">
        <w:rPr>
          <w:rFonts w:ascii="Gotham Book" w:hAnsi="Gotham Book"/>
        </w:rPr>
        <w:t xml:space="preserve">is unchanged, the PE certification does not need to </w:t>
      </w:r>
      <w:proofErr w:type="gramStart"/>
      <w:r w:rsidR="006A2B5D">
        <w:rPr>
          <w:rFonts w:ascii="Gotham Book" w:hAnsi="Gotham Book"/>
        </w:rPr>
        <w:t>be updated</w:t>
      </w:r>
      <w:proofErr w:type="gramEnd"/>
      <w:r w:rsidR="006A2B5D">
        <w:rPr>
          <w:rFonts w:ascii="Gotham Book" w:hAnsi="Gotham Book"/>
        </w:rPr>
        <w:t xml:space="preserve">. </w:t>
      </w:r>
    </w:p>
    <w:p w14:paraId="042FFBD0" w14:textId="77777777" w:rsidR="00085DC7" w:rsidRPr="00085DC7" w:rsidRDefault="00085DC7">
      <w:pPr>
        <w:rPr>
          <w:rFonts w:ascii="Gotham Book" w:hAnsi="Gotham Book"/>
        </w:rPr>
      </w:pPr>
    </w:p>
    <w:p w14:paraId="3B1CC81F" w14:textId="14EC79B4" w:rsidR="0076540B" w:rsidRDefault="0076540B" w:rsidP="0011212D">
      <w:pPr>
        <w:keepNext/>
        <w:spacing w:after="120"/>
        <w:ind w:left="907" w:hanging="907"/>
        <w:rPr>
          <w:rFonts w:ascii="Gotham Book" w:hAnsi="Gotham Book"/>
          <w:b/>
          <w:bCs/>
        </w:rPr>
      </w:pPr>
      <w:r>
        <w:rPr>
          <w:rFonts w:ascii="Gotham Book" w:hAnsi="Gotham Book"/>
          <w:b/>
          <w:bCs/>
        </w:rPr>
        <w:t xml:space="preserve">Question: If a provider includes a free-space optical (FSO) middle-mile segment in their application, should they use the Fixed Wireless design template and complete any applicable fields to </w:t>
      </w:r>
      <w:r w:rsidR="00E01DB4">
        <w:rPr>
          <w:rFonts w:ascii="Gotham Book" w:hAnsi="Gotham Book"/>
          <w:b/>
          <w:bCs/>
        </w:rPr>
        <w:t xml:space="preserve">document the </w:t>
      </w:r>
      <w:r>
        <w:rPr>
          <w:rFonts w:ascii="Gotham Book" w:hAnsi="Gotham Book"/>
          <w:b/>
          <w:bCs/>
        </w:rPr>
        <w:t xml:space="preserve">technical </w:t>
      </w:r>
      <w:r w:rsidR="008A601A">
        <w:rPr>
          <w:rFonts w:ascii="Gotham Book" w:hAnsi="Gotham Book"/>
          <w:b/>
          <w:bCs/>
        </w:rPr>
        <w:t xml:space="preserve">data for this wireless optical technology? </w:t>
      </w:r>
    </w:p>
    <w:p w14:paraId="76055EF8" w14:textId="5A87D99B" w:rsidR="00085DC7" w:rsidRDefault="00085DC7">
      <w:pPr>
        <w:rPr>
          <w:rFonts w:ascii="Gotham Book" w:hAnsi="Gotham Book"/>
        </w:rPr>
      </w:pPr>
      <w:r>
        <w:rPr>
          <w:rFonts w:ascii="Gotham Book" w:hAnsi="Gotham Book"/>
          <w:b/>
          <w:bCs/>
        </w:rPr>
        <w:t xml:space="preserve">Answer: </w:t>
      </w:r>
      <w:r w:rsidR="009C2D63">
        <w:rPr>
          <w:rFonts w:ascii="Gotham Book" w:hAnsi="Gotham Book"/>
        </w:rPr>
        <w:t>Middle</w:t>
      </w:r>
      <w:r w:rsidR="00EE468E">
        <w:rPr>
          <w:rFonts w:ascii="Gotham Book" w:hAnsi="Gotham Book"/>
        </w:rPr>
        <w:t>-</w:t>
      </w:r>
      <w:r w:rsidR="009C2D63">
        <w:rPr>
          <w:rFonts w:ascii="Gotham Book" w:hAnsi="Gotham Book"/>
        </w:rPr>
        <w:t>mile segments</w:t>
      </w:r>
      <w:r w:rsidR="00D554A7">
        <w:rPr>
          <w:rFonts w:ascii="Gotham Book" w:hAnsi="Gotham Book"/>
        </w:rPr>
        <w:t>, regardless of technology</w:t>
      </w:r>
      <w:r w:rsidR="00656D04">
        <w:rPr>
          <w:rFonts w:ascii="Gotham Book" w:hAnsi="Gotham Book"/>
        </w:rPr>
        <w:t>,</w:t>
      </w:r>
      <w:r w:rsidR="009C2D63">
        <w:rPr>
          <w:rFonts w:ascii="Gotham Book" w:hAnsi="Gotham Book"/>
        </w:rPr>
        <w:t xml:space="preserve"> </w:t>
      </w:r>
      <w:r w:rsidR="00656D04">
        <w:rPr>
          <w:rFonts w:ascii="Gotham Book" w:hAnsi="Gotham Book"/>
        </w:rPr>
        <w:t>must</w:t>
      </w:r>
      <w:r w:rsidR="009C2D63">
        <w:rPr>
          <w:rFonts w:ascii="Gotham Book" w:hAnsi="Gotham Book"/>
        </w:rPr>
        <w:t xml:space="preserve"> </w:t>
      </w:r>
      <w:proofErr w:type="gramStart"/>
      <w:r w:rsidR="009C2D63">
        <w:rPr>
          <w:rFonts w:ascii="Gotham Book" w:hAnsi="Gotham Book"/>
        </w:rPr>
        <w:t>be reflected</w:t>
      </w:r>
      <w:proofErr w:type="gramEnd"/>
      <w:r w:rsidR="009C2D63">
        <w:rPr>
          <w:rFonts w:ascii="Gotham Book" w:hAnsi="Gotham Book"/>
        </w:rPr>
        <w:t xml:space="preserve"> in the logical network diagram and </w:t>
      </w:r>
      <w:r w:rsidR="00997312">
        <w:rPr>
          <w:rFonts w:ascii="Gotham Book" w:hAnsi="Gotham Book"/>
        </w:rPr>
        <w:t xml:space="preserve">in </w:t>
      </w:r>
      <w:proofErr w:type="gramStart"/>
      <w:r w:rsidR="00997312">
        <w:rPr>
          <w:rFonts w:ascii="Gotham Book" w:hAnsi="Gotham Book"/>
        </w:rPr>
        <w:t>the responses</w:t>
      </w:r>
      <w:proofErr w:type="gramEnd"/>
      <w:r w:rsidR="00997312">
        <w:rPr>
          <w:rFonts w:ascii="Gotham Book" w:hAnsi="Gotham Book"/>
        </w:rPr>
        <w:t xml:space="preserve"> to </w:t>
      </w:r>
      <w:r w:rsidR="00D554A7">
        <w:rPr>
          <w:rFonts w:ascii="Gotham Book" w:hAnsi="Gotham Book"/>
        </w:rPr>
        <w:t>any questions requiring backhaul details or narrative.</w:t>
      </w:r>
      <w:r w:rsidR="00A964BA">
        <w:rPr>
          <w:rFonts w:ascii="Gotham Book" w:hAnsi="Gotham Book"/>
        </w:rPr>
        <w:t xml:space="preserve"> Applications identified as “Priority” in Q1.1 should include the middle</w:t>
      </w:r>
      <w:r w:rsidR="00D0290D">
        <w:rPr>
          <w:rFonts w:ascii="Gotham Book" w:hAnsi="Gotham Book"/>
        </w:rPr>
        <w:t>-</w:t>
      </w:r>
      <w:r w:rsidR="00A964BA">
        <w:rPr>
          <w:rFonts w:ascii="Gotham Book" w:hAnsi="Gotham Book"/>
        </w:rPr>
        <w:t xml:space="preserve">mile segments in the logical network diagrams submitted with the Priority </w:t>
      </w:r>
      <w:r w:rsidR="001B68D0">
        <w:rPr>
          <w:rFonts w:ascii="Gotham Book" w:hAnsi="Gotham Book"/>
        </w:rPr>
        <w:t>t</w:t>
      </w:r>
      <w:r w:rsidR="00A964BA">
        <w:rPr>
          <w:rFonts w:ascii="Gotham Book" w:hAnsi="Gotham Book"/>
        </w:rPr>
        <w:t xml:space="preserve">echnical </w:t>
      </w:r>
      <w:r w:rsidR="001B68D0">
        <w:rPr>
          <w:rFonts w:ascii="Gotham Book" w:hAnsi="Gotham Book"/>
        </w:rPr>
        <w:t>t</w:t>
      </w:r>
      <w:r w:rsidR="00A964BA">
        <w:rPr>
          <w:rFonts w:ascii="Gotham Book" w:hAnsi="Gotham Book"/>
        </w:rPr>
        <w:t>emplates. Applica</w:t>
      </w:r>
      <w:r w:rsidR="00B43C45">
        <w:rPr>
          <w:rFonts w:ascii="Gotham Book" w:hAnsi="Gotham Book"/>
        </w:rPr>
        <w:t xml:space="preserve">tions identified as “Non-Priority” in Q1.1 should </w:t>
      </w:r>
      <w:r w:rsidR="00A110FA">
        <w:rPr>
          <w:rFonts w:ascii="Gotham Book" w:hAnsi="Gotham Book"/>
        </w:rPr>
        <w:t xml:space="preserve">also include the middle-mile segments in the logical network diagrams and should </w:t>
      </w:r>
      <w:r w:rsidR="009268BF">
        <w:rPr>
          <w:rFonts w:ascii="Gotham Book" w:hAnsi="Gotham Book"/>
        </w:rPr>
        <w:t xml:space="preserve">follow the Application Guide’s instructions on submitting </w:t>
      </w:r>
      <w:r w:rsidR="00123F5C">
        <w:rPr>
          <w:rFonts w:ascii="Gotham Book" w:hAnsi="Gotham Book"/>
        </w:rPr>
        <w:t>technical mate</w:t>
      </w:r>
      <w:r w:rsidR="00487B64">
        <w:rPr>
          <w:rFonts w:ascii="Gotham Book" w:hAnsi="Gotham Book"/>
        </w:rPr>
        <w:t>rials</w:t>
      </w:r>
      <w:r w:rsidR="005F186D">
        <w:rPr>
          <w:rFonts w:ascii="Gotham Book" w:hAnsi="Gotham Book"/>
        </w:rPr>
        <w:t xml:space="preserve">. </w:t>
      </w:r>
    </w:p>
    <w:p w14:paraId="0C661E0B" w14:textId="77777777" w:rsidR="00085DC7" w:rsidRPr="00085DC7" w:rsidRDefault="00085DC7">
      <w:pPr>
        <w:rPr>
          <w:rFonts w:ascii="Gotham Book" w:hAnsi="Gotham Book"/>
        </w:rPr>
      </w:pPr>
    </w:p>
    <w:p w14:paraId="5E6806A5" w14:textId="5C1A164A" w:rsidR="003221F4" w:rsidRDefault="003221F4" w:rsidP="0011212D">
      <w:pPr>
        <w:keepNext/>
        <w:spacing w:after="120"/>
        <w:ind w:left="907" w:hanging="907"/>
        <w:rPr>
          <w:rFonts w:ascii="Gotham Book" w:hAnsi="Gotham Book"/>
          <w:b/>
          <w:bCs/>
        </w:rPr>
      </w:pPr>
      <w:r>
        <w:rPr>
          <w:rFonts w:ascii="Gotham Book" w:hAnsi="Gotham Book"/>
          <w:b/>
          <w:bCs/>
        </w:rPr>
        <w:lastRenderedPageBreak/>
        <w:t xml:space="preserve">Question: Will an </w:t>
      </w:r>
      <w:r w:rsidR="002C0D71" w:rsidRPr="002C0D71">
        <w:rPr>
          <w:rFonts w:ascii="Gotham Book" w:hAnsi="Gotham Book"/>
          <w:b/>
          <w:bCs/>
        </w:rPr>
        <w:t>irrevocable standby letter of credit (</w:t>
      </w:r>
      <w:r>
        <w:rPr>
          <w:rFonts w:ascii="Gotham Book" w:hAnsi="Gotham Book"/>
          <w:b/>
          <w:bCs/>
        </w:rPr>
        <w:t>ILOC</w:t>
      </w:r>
      <w:r w:rsidR="002C0D71">
        <w:rPr>
          <w:rFonts w:ascii="Gotham Book" w:hAnsi="Gotham Book"/>
          <w:b/>
          <w:bCs/>
        </w:rPr>
        <w:t>)</w:t>
      </w:r>
      <w:r>
        <w:rPr>
          <w:rFonts w:ascii="Gotham Book" w:hAnsi="Gotham Book"/>
          <w:b/>
          <w:bCs/>
        </w:rPr>
        <w:t xml:space="preserve"> </w:t>
      </w:r>
      <w:proofErr w:type="gramStart"/>
      <w:r>
        <w:rPr>
          <w:rFonts w:ascii="Gotham Book" w:hAnsi="Gotham Book"/>
          <w:b/>
          <w:bCs/>
        </w:rPr>
        <w:t>be required</w:t>
      </w:r>
      <w:proofErr w:type="gramEnd"/>
      <w:r>
        <w:rPr>
          <w:rFonts w:ascii="Gotham Book" w:hAnsi="Gotham Book"/>
          <w:b/>
          <w:bCs/>
        </w:rPr>
        <w:t xml:space="preserve"> with specific amounts for each application? </w:t>
      </w:r>
    </w:p>
    <w:p w14:paraId="13BF0C8B" w14:textId="24E44969" w:rsidR="00085DC7" w:rsidRPr="00AC416E" w:rsidRDefault="00085DC7">
      <w:pPr>
        <w:rPr>
          <w:rFonts w:ascii="Gotham Book" w:hAnsi="Gotham Book"/>
        </w:rPr>
      </w:pPr>
      <w:r>
        <w:rPr>
          <w:rFonts w:ascii="Gotham Book" w:hAnsi="Gotham Book"/>
          <w:b/>
          <w:bCs/>
        </w:rPr>
        <w:t>Answer:</w:t>
      </w:r>
      <w:r w:rsidR="00D61530">
        <w:rPr>
          <w:rFonts w:ascii="Gotham Book" w:hAnsi="Gotham Book"/>
          <w:b/>
          <w:bCs/>
        </w:rPr>
        <w:t xml:space="preserve"> </w:t>
      </w:r>
      <w:r w:rsidR="002155D4">
        <w:rPr>
          <w:rFonts w:ascii="Gotham Book" w:hAnsi="Gotham Book"/>
        </w:rPr>
        <w:t xml:space="preserve">Subgrantee applicants </w:t>
      </w:r>
      <w:proofErr w:type="gramStart"/>
      <w:r w:rsidR="002155D4">
        <w:rPr>
          <w:rFonts w:ascii="Gotham Book" w:hAnsi="Gotham Book"/>
        </w:rPr>
        <w:t>are not required</w:t>
      </w:r>
      <w:proofErr w:type="gramEnd"/>
      <w:r w:rsidR="002155D4">
        <w:rPr>
          <w:rFonts w:ascii="Gotham Book" w:hAnsi="Gotham Book"/>
        </w:rPr>
        <w:t xml:space="preserve"> to submit </w:t>
      </w:r>
      <w:r w:rsidR="00260B94">
        <w:rPr>
          <w:rFonts w:ascii="Gotham Book" w:hAnsi="Gotham Book"/>
        </w:rPr>
        <w:t>the</w:t>
      </w:r>
      <w:r w:rsidR="00B26EFA">
        <w:rPr>
          <w:rFonts w:ascii="Gotham Book" w:hAnsi="Gotham Book"/>
        </w:rPr>
        <w:t xml:space="preserve"> </w:t>
      </w:r>
      <w:r w:rsidR="00B26EFA">
        <w:rPr>
          <w:rFonts w:ascii="Gotham Book" w:hAnsi="Gotham Book"/>
        </w:rPr>
        <w:t xml:space="preserve">ILOC </w:t>
      </w:r>
      <w:r w:rsidR="00BE4A95">
        <w:rPr>
          <w:rFonts w:ascii="Gotham Book" w:hAnsi="Gotham Book"/>
        </w:rPr>
        <w:t>with the application.</w:t>
      </w:r>
      <w:r w:rsidR="00260B94">
        <w:rPr>
          <w:rFonts w:ascii="Gotham Book" w:hAnsi="Gotham Book"/>
        </w:rPr>
        <w:t xml:space="preserve"> </w:t>
      </w:r>
      <w:r w:rsidR="002D311D">
        <w:rPr>
          <w:rFonts w:ascii="Gotham Book" w:hAnsi="Gotham Book"/>
        </w:rPr>
        <w:t xml:space="preserve">Applicants </w:t>
      </w:r>
      <w:proofErr w:type="gramStart"/>
      <w:r w:rsidR="002D311D">
        <w:rPr>
          <w:rFonts w:ascii="Gotham Book" w:hAnsi="Gotham Book"/>
        </w:rPr>
        <w:t>are required</w:t>
      </w:r>
      <w:proofErr w:type="gramEnd"/>
      <w:r w:rsidR="002D311D">
        <w:rPr>
          <w:rFonts w:ascii="Gotham Book" w:hAnsi="Gotham Book"/>
        </w:rPr>
        <w:t xml:space="preserve"> to submit</w:t>
      </w:r>
      <w:r w:rsidR="00762039">
        <w:rPr>
          <w:rFonts w:ascii="Gotham Book" w:hAnsi="Gotham Book"/>
        </w:rPr>
        <w:t xml:space="preserve"> </w:t>
      </w:r>
      <w:r w:rsidR="00DC1DC5">
        <w:rPr>
          <w:rFonts w:ascii="Gotham Book" w:hAnsi="Gotham Book"/>
        </w:rPr>
        <w:t xml:space="preserve">documentation confirming the commitment to </w:t>
      </w:r>
      <w:proofErr w:type="gramStart"/>
      <w:r w:rsidR="00DC1DC5">
        <w:rPr>
          <w:rFonts w:ascii="Gotham Book" w:hAnsi="Gotham Book"/>
        </w:rPr>
        <w:t>provide</w:t>
      </w:r>
      <w:proofErr w:type="gramEnd"/>
      <w:r w:rsidR="00DC1DC5">
        <w:rPr>
          <w:rFonts w:ascii="Gotham Book" w:hAnsi="Gotham Book"/>
        </w:rPr>
        <w:t xml:space="preserve"> </w:t>
      </w:r>
      <w:r w:rsidR="00CE0647">
        <w:rPr>
          <w:rFonts w:ascii="Gotham Book" w:hAnsi="Gotham Book"/>
        </w:rPr>
        <w:t xml:space="preserve">an </w:t>
      </w:r>
      <w:r w:rsidR="00064F26">
        <w:rPr>
          <w:rFonts w:ascii="Gotham Book" w:hAnsi="Gotham Book"/>
        </w:rPr>
        <w:t>ILOC)</w:t>
      </w:r>
      <w:r w:rsidR="004F16A1">
        <w:rPr>
          <w:rFonts w:ascii="Gotham Book" w:hAnsi="Gotham Book"/>
        </w:rPr>
        <w:t xml:space="preserve"> or a performance bond</w:t>
      </w:r>
      <w:r w:rsidR="003808B6">
        <w:rPr>
          <w:rFonts w:ascii="Gotham Book" w:hAnsi="Gotham Book"/>
        </w:rPr>
        <w:t xml:space="preserve">. </w:t>
      </w:r>
      <w:r w:rsidR="00F14F91">
        <w:rPr>
          <w:rFonts w:ascii="Gotham Book" w:hAnsi="Gotham Book"/>
        </w:rPr>
        <w:t xml:space="preserve">Please see the guidance for </w:t>
      </w:r>
      <w:r w:rsidR="00894009">
        <w:rPr>
          <w:rFonts w:ascii="Gotham Book" w:hAnsi="Gotham Book"/>
        </w:rPr>
        <w:t>Q</w:t>
      </w:r>
      <w:r w:rsidR="00F14F91">
        <w:rPr>
          <w:rFonts w:ascii="Gotham Book" w:hAnsi="Gotham Book"/>
        </w:rPr>
        <w:t xml:space="preserve">6.2 in the Application Guide. </w:t>
      </w:r>
      <w:r w:rsidR="00BD1A1A">
        <w:rPr>
          <w:rFonts w:ascii="Gotham Book" w:hAnsi="Gotham Book"/>
        </w:rPr>
        <w:t xml:space="preserve">The </w:t>
      </w:r>
      <w:r w:rsidR="000B177D">
        <w:rPr>
          <w:rFonts w:ascii="Gotham Book" w:hAnsi="Gotham Book"/>
        </w:rPr>
        <w:t>documentation should sufficiently demonstrate</w:t>
      </w:r>
      <w:r w:rsidR="000B7C12">
        <w:rPr>
          <w:rFonts w:ascii="Gotham Book" w:hAnsi="Gotham Book"/>
        </w:rPr>
        <w:t xml:space="preserve"> </w:t>
      </w:r>
      <w:r w:rsidR="00555329">
        <w:rPr>
          <w:rFonts w:ascii="Gotham Book" w:hAnsi="Gotham Book"/>
        </w:rPr>
        <w:t xml:space="preserve">the </w:t>
      </w:r>
      <w:r w:rsidR="002D1B5C">
        <w:rPr>
          <w:rFonts w:ascii="Gotham Book" w:hAnsi="Gotham Book"/>
        </w:rPr>
        <w:t xml:space="preserve">subgrantee applicant’s ability to </w:t>
      </w:r>
      <w:r w:rsidR="00E86659">
        <w:rPr>
          <w:rFonts w:ascii="Gotham Book" w:hAnsi="Gotham Book"/>
        </w:rPr>
        <w:t xml:space="preserve">provide WBO with </w:t>
      </w:r>
      <w:r w:rsidR="00333EFC">
        <w:rPr>
          <w:rFonts w:ascii="Gotham Book" w:hAnsi="Gotham Book"/>
        </w:rPr>
        <w:t xml:space="preserve">the </w:t>
      </w:r>
      <w:r w:rsidR="00246E11">
        <w:rPr>
          <w:rFonts w:ascii="Gotham Book" w:hAnsi="Gotham Book"/>
        </w:rPr>
        <w:t>ILOC</w:t>
      </w:r>
      <w:r w:rsidR="00815B9A">
        <w:rPr>
          <w:rFonts w:ascii="Gotham Book" w:hAnsi="Gotham Book"/>
        </w:rPr>
        <w:t xml:space="preserve"> or performance bond</w:t>
      </w:r>
      <w:r w:rsidR="0042153F">
        <w:rPr>
          <w:rFonts w:ascii="Gotham Book" w:hAnsi="Gotham Book"/>
        </w:rPr>
        <w:t xml:space="preserve"> should </w:t>
      </w:r>
      <w:r w:rsidR="00964A83">
        <w:rPr>
          <w:rFonts w:ascii="Gotham Book" w:hAnsi="Gotham Book"/>
        </w:rPr>
        <w:t xml:space="preserve">the applicant </w:t>
      </w:r>
      <w:proofErr w:type="gramStart"/>
      <w:r w:rsidR="0042153F">
        <w:rPr>
          <w:rFonts w:ascii="Gotham Book" w:hAnsi="Gotham Book"/>
        </w:rPr>
        <w:t>be awarded</w:t>
      </w:r>
      <w:proofErr w:type="gramEnd"/>
      <w:r w:rsidR="0042153F">
        <w:rPr>
          <w:rFonts w:ascii="Gotham Book" w:hAnsi="Gotham Book"/>
        </w:rPr>
        <w:t>.</w:t>
      </w:r>
      <w:r w:rsidR="00326329">
        <w:rPr>
          <w:rFonts w:ascii="Gotham Book" w:hAnsi="Gotham Book"/>
        </w:rPr>
        <w:t xml:space="preserve"> </w:t>
      </w:r>
    </w:p>
    <w:p w14:paraId="5864862A" w14:textId="77777777" w:rsidR="003221F4" w:rsidRPr="00085DC7" w:rsidRDefault="003221F4">
      <w:pPr>
        <w:rPr>
          <w:rFonts w:ascii="Gotham Book" w:hAnsi="Gotham Book"/>
        </w:rPr>
      </w:pPr>
    </w:p>
    <w:p w14:paraId="77639BC9" w14:textId="00C808DD" w:rsidR="003221F4" w:rsidRDefault="003221F4" w:rsidP="0011212D">
      <w:pPr>
        <w:keepNext/>
        <w:spacing w:after="120"/>
        <w:ind w:left="907" w:hanging="907"/>
        <w:rPr>
          <w:rFonts w:ascii="Gotham Book" w:hAnsi="Gotham Book"/>
          <w:b/>
          <w:bCs/>
        </w:rPr>
      </w:pPr>
      <w:r>
        <w:rPr>
          <w:rFonts w:ascii="Gotham Book" w:hAnsi="Gotham Book"/>
          <w:b/>
          <w:bCs/>
        </w:rPr>
        <w:t xml:space="preserve">Question: Can performance bonds </w:t>
      </w:r>
      <w:proofErr w:type="gramStart"/>
      <w:r>
        <w:rPr>
          <w:rFonts w:ascii="Gotham Book" w:hAnsi="Gotham Book"/>
          <w:b/>
          <w:bCs/>
        </w:rPr>
        <w:t>be submitted</w:t>
      </w:r>
      <w:proofErr w:type="gramEnd"/>
      <w:r>
        <w:rPr>
          <w:rFonts w:ascii="Gotham Book" w:hAnsi="Gotham Book"/>
          <w:b/>
          <w:bCs/>
        </w:rPr>
        <w:t xml:space="preserve"> after the filing deadline? </w:t>
      </w:r>
    </w:p>
    <w:p w14:paraId="67B4876C" w14:textId="5F3F0058" w:rsidR="00085DC7" w:rsidRPr="00245D5C" w:rsidRDefault="00085DC7">
      <w:pPr>
        <w:rPr>
          <w:rFonts w:ascii="Gotham Book" w:hAnsi="Gotham Book"/>
        </w:rPr>
      </w:pPr>
      <w:r>
        <w:rPr>
          <w:rFonts w:ascii="Gotham Book" w:hAnsi="Gotham Book"/>
          <w:b/>
          <w:bCs/>
        </w:rPr>
        <w:t xml:space="preserve">Answer: </w:t>
      </w:r>
      <w:r w:rsidR="004227A6">
        <w:rPr>
          <w:rFonts w:ascii="Gotham Book" w:hAnsi="Gotham Book"/>
        </w:rPr>
        <w:t>Yes,</w:t>
      </w:r>
      <w:r w:rsidR="00245D5C">
        <w:rPr>
          <w:rFonts w:ascii="Gotham Book" w:hAnsi="Gotham Book"/>
        </w:rPr>
        <w:t xml:space="preserve"> </w:t>
      </w:r>
      <w:r w:rsidR="00245D5C">
        <w:rPr>
          <w:rFonts w:ascii="Gotham Book" w:hAnsi="Gotham Book"/>
        </w:rPr>
        <w:t xml:space="preserve">performance bonds can </w:t>
      </w:r>
      <w:proofErr w:type="gramStart"/>
      <w:r w:rsidR="00245D5C">
        <w:rPr>
          <w:rFonts w:ascii="Gotham Book" w:hAnsi="Gotham Book"/>
        </w:rPr>
        <w:t>be submitted</w:t>
      </w:r>
      <w:proofErr w:type="gramEnd"/>
      <w:r w:rsidR="00245D5C">
        <w:rPr>
          <w:rFonts w:ascii="Gotham Book" w:hAnsi="Gotham Book"/>
        </w:rPr>
        <w:t xml:space="preserve"> after the application deadline</w:t>
      </w:r>
      <w:r w:rsidR="005B4E6D">
        <w:rPr>
          <w:rFonts w:ascii="Gotham Book" w:hAnsi="Gotham Book"/>
        </w:rPr>
        <w:t xml:space="preserve">, </w:t>
      </w:r>
      <w:proofErr w:type="gramStart"/>
      <w:r w:rsidR="00245D5C">
        <w:rPr>
          <w:rFonts w:ascii="Gotham Book" w:hAnsi="Gotham Book"/>
        </w:rPr>
        <w:t>as long as</w:t>
      </w:r>
      <w:proofErr w:type="gramEnd"/>
      <w:r w:rsidR="00245D5C">
        <w:rPr>
          <w:rFonts w:ascii="Gotham Book" w:hAnsi="Gotham Book"/>
        </w:rPr>
        <w:t xml:space="preserve"> </w:t>
      </w:r>
      <w:r w:rsidR="005B4E6D">
        <w:rPr>
          <w:rFonts w:ascii="Gotham Book" w:hAnsi="Gotham Book"/>
        </w:rPr>
        <w:t xml:space="preserve">the subgrantee applicant submits the bond to WBO before the subaward contract </w:t>
      </w:r>
      <w:proofErr w:type="gramStart"/>
      <w:r w:rsidR="005B4E6D">
        <w:rPr>
          <w:rFonts w:ascii="Gotham Book" w:hAnsi="Gotham Book"/>
        </w:rPr>
        <w:t>is signed</w:t>
      </w:r>
      <w:proofErr w:type="gramEnd"/>
      <w:r w:rsidR="005B4E6D">
        <w:rPr>
          <w:rFonts w:ascii="Gotham Book" w:hAnsi="Gotham Book"/>
        </w:rPr>
        <w:t xml:space="preserve">. </w:t>
      </w:r>
      <w:r w:rsidR="007B0819">
        <w:rPr>
          <w:rFonts w:ascii="Gotham Book" w:hAnsi="Gotham Book"/>
        </w:rPr>
        <w:t xml:space="preserve">For the </w:t>
      </w:r>
      <w:r w:rsidR="003B03F7">
        <w:rPr>
          <w:rFonts w:ascii="Gotham Book" w:hAnsi="Gotham Book"/>
        </w:rPr>
        <w:t>purpose of meeting</w:t>
      </w:r>
      <w:r w:rsidR="007B0819">
        <w:rPr>
          <w:rFonts w:ascii="Gotham Book" w:hAnsi="Gotham Book"/>
        </w:rPr>
        <w:t xml:space="preserve"> the application</w:t>
      </w:r>
      <w:r w:rsidR="00387A42">
        <w:rPr>
          <w:rFonts w:ascii="Gotham Book" w:hAnsi="Gotham Book"/>
        </w:rPr>
        <w:t xml:space="preserve"> deadline</w:t>
      </w:r>
      <w:r w:rsidR="007B0819">
        <w:rPr>
          <w:rFonts w:ascii="Gotham Book" w:hAnsi="Gotham Book"/>
        </w:rPr>
        <w:t xml:space="preserve">, </w:t>
      </w:r>
      <w:r w:rsidR="00AA438C">
        <w:rPr>
          <w:rFonts w:ascii="Gotham Book" w:hAnsi="Gotham Book"/>
        </w:rPr>
        <w:t xml:space="preserve">a </w:t>
      </w:r>
      <w:r w:rsidR="007B0819">
        <w:rPr>
          <w:rFonts w:ascii="Gotham Book" w:hAnsi="Gotham Book"/>
        </w:rPr>
        <w:t>subgrantee applicant may submit a letter</w:t>
      </w:r>
      <w:r w:rsidR="00994A8A">
        <w:rPr>
          <w:rFonts w:ascii="Gotham Book" w:hAnsi="Gotham Book"/>
        </w:rPr>
        <w:t xml:space="preserve"> from a company holding a certificate of authority</w:t>
      </w:r>
      <w:r w:rsidR="0065459D">
        <w:rPr>
          <w:rFonts w:ascii="Gotham Book" w:hAnsi="Gotham Book"/>
        </w:rPr>
        <w:t xml:space="preserve"> as an acceptable surety on federal bonds as identified in the Department of Treasury Circular 570</w:t>
      </w:r>
      <w:r w:rsidR="007D1585">
        <w:rPr>
          <w:rFonts w:ascii="Gotham Book" w:hAnsi="Gotham Book"/>
        </w:rPr>
        <w:t xml:space="preserve"> </w:t>
      </w:r>
      <w:r w:rsidR="001B583B">
        <w:rPr>
          <w:rFonts w:ascii="Gotham Book" w:hAnsi="Gotham Book"/>
        </w:rPr>
        <w:t xml:space="preserve">(see </w:t>
      </w:r>
      <w:hyperlink r:id="rId13" w:history="1">
        <w:r w:rsidR="001B583B" w:rsidRPr="001B583B">
          <w:rPr>
            <w:rStyle w:val="Hyperlink"/>
            <w:rFonts w:ascii="Gotham Book" w:hAnsi="Gotham Book"/>
          </w:rPr>
          <w:t>Department of Treasury Circular 570</w:t>
        </w:r>
      </w:hyperlink>
      <w:r w:rsidR="001B583B">
        <w:rPr>
          <w:rFonts w:ascii="Gotham Book" w:hAnsi="Gotham Book"/>
        </w:rPr>
        <w:t xml:space="preserve">) </w:t>
      </w:r>
      <w:r w:rsidR="007D1585">
        <w:rPr>
          <w:rFonts w:ascii="Gotham Book" w:hAnsi="Gotham Book"/>
        </w:rPr>
        <w:t>committing to issue a p</w:t>
      </w:r>
      <w:r w:rsidR="001F49B5">
        <w:rPr>
          <w:rFonts w:ascii="Gotham Book" w:hAnsi="Gotham Book"/>
        </w:rPr>
        <w:t>erformance bond to the prospective subgrantee</w:t>
      </w:r>
      <w:r w:rsidR="00A43313">
        <w:rPr>
          <w:rFonts w:ascii="Gotham Book" w:hAnsi="Gotham Book"/>
        </w:rPr>
        <w:t xml:space="preserve">. </w:t>
      </w:r>
    </w:p>
    <w:p w14:paraId="55BDA5F1" w14:textId="77777777" w:rsidR="00085DC7" w:rsidRDefault="00085DC7">
      <w:pPr>
        <w:rPr>
          <w:rFonts w:ascii="Gotham Book" w:hAnsi="Gotham Book"/>
        </w:rPr>
      </w:pPr>
    </w:p>
    <w:p w14:paraId="41F55454" w14:textId="023E3E3C" w:rsidR="0059783F" w:rsidRPr="0011212D" w:rsidRDefault="0059783F" w:rsidP="0011212D">
      <w:pPr>
        <w:keepNext/>
        <w:spacing w:after="120"/>
        <w:ind w:left="907" w:hanging="907"/>
        <w:rPr>
          <w:rFonts w:ascii="Gotham Book" w:hAnsi="Gotham Book"/>
          <w:b/>
        </w:rPr>
      </w:pPr>
      <w:r>
        <w:rPr>
          <w:rFonts w:ascii="Gotham Book" w:hAnsi="Gotham Book"/>
          <w:b/>
          <w:bCs/>
        </w:rPr>
        <w:t>Que</w:t>
      </w:r>
      <w:r w:rsidR="00AB1DD1">
        <w:rPr>
          <w:rFonts w:ascii="Gotham Book" w:hAnsi="Gotham Book"/>
          <w:b/>
          <w:bCs/>
        </w:rPr>
        <w:t xml:space="preserve">stion: </w:t>
      </w:r>
      <w:r w:rsidR="007708C9">
        <w:rPr>
          <w:rFonts w:ascii="Gotham Book" w:hAnsi="Gotham Book"/>
          <w:b/>
          <w:bCs/>
        </w:rPr>
        <w:t>Why does</w:t>
      </w:r>
      <w:r w:rsidR="00AB1DD1">
        <w:rPr>
          <w:rFonts w:ascii="Gotham Book" w:hAnsi="Gotham Book"/>
          <w:b/>
          <w:bCs/>
        </w:rPr>
        <w:t xml:space="preserve"> the “Instruction</w:t>
      </w:r>
      <w:r w:rsidR="000A4BDF">
        <w:rPr>
          <w:rFonts w:ascii="Gotham Book" w:hAnsi="Gotham Book"/>
          <w:b/>
          <w:bCs/>
        </w:rPr>
        <w:t>s</w:t>
      </w:r>
      <w:r w:rsidR="00AB1DD1">
        <w:rPr>
          <w:rFonts w:ascii="Gotham Book" w:hAnsi="Gotham Book"/>
          <w:b/>
          <w:bCs/>
        </w:rPr>
        <w:t>” tab</w:t>
      </w:r>
      <w:r w:rsidR="000B0E19">
        <w:rPr>
          <w:rFonts w:ascii="Gotham Book" w:hAnsi="Gotham Book"/>
          <w:b/>
          <w:bCs/>
        </w:rPr>
        <w:t xml:space="preserve"> for the Project Area Location List </w:t>
      </w:r>
      <w:r w:rsidR="001668B2">
        <w:rPr>
          <w:rFonts w:ascii="Gotham Book" w:hAnsi="Gotham Book"/>
          <w:b/>
          <w:bCs/>
        </w:rPr>
        <w:t xml:space="preserve">have “Reason Code 6” for the </w:t>
      </w:r>
      <w:r w:rsidR="00064B7E">
        <w:rPr>
          <w:rFonts w:ascii="Gotham Book" w:hAnsi="Gotham Book"/>
          <w:b/>
          <w:bCs/>
        </w:rPr>
        <w:t>“</w:t>
      </w:r>
      <w:r w:rsidR="001668B2">
        <w:rPr>
          <w:rFonts w:ascii="Gotham Book" w:hAnsi="Gotham Book"/>
          <w:b/>
          <w:bCs/>
        </w:rPr>
        <w:t>Omitted locations</w:t>
      </w:r>
      <w:r w:rsidR="000801A1">
        <w:rPr>
          <w:rFonts w:ascii="Gotham Book" w:hAnsi="Gotham Book"/>
          <w:b/>
          <w:bCs/>
        </w:rPr>
        <w:t xml:space="preserve"> for BSLs removed from the latest fabric</w:t>
      </w:r>
      <w:r w:rsidR="00064B7E">
        <w:rPr>
          <w:rFonts w:ascii="Gotham Book" w:hAnsi="Gotham Book"/>
          <w:b/>
          <w:bCs/>
        </w:rPr>
        <w:t>” reason</w:t>
      </w:r>
      <w:r w:rsidR="00802413">
        <w:rPr>
          <w:rFonts w:ascii="Gotham Book" w:hAnsi="Gotham Book"/>
          <w:b/>
          <w:bCs/>
        </w:rPr>
        <w:t xml:space="preserve">? </w:t>
      </w:r>
    </w:p>
    <w:p w14:paraId="443B7883" w14:textId="1F4CCC09" w:rsidR="00802413" w:rsidRPr="000801A1" w:rsidRDefault="00802413">
      <w:pPr>
        <w:rPr>
          <w:rFonts w:ascii="Gotham Book" w:hAnsi="Gotham Book"/>
        </w:rPr>
      </w:pPr>
      <w:r>
        <w:rPr>
          <w:rFonts w:ascii="Gotham Book" w:hAnsi="Gotham Book"/>
          <w:b/>
          <w:bCs/>
        </w:rPr>
        <w:t>Answer:</w:t>
      </w:r>
      <w:r w:rsidR="000801A1">
        <w:rPr>
          <w:rFonts w:ascii="Gotham Book" w:hAnsi="Gotham Book"/>
          <w:b/>
          <w:bCs/>
        </w:rPr>
        <w:t xml:space="preserve"> </w:t>
      </w:r>
      <w:r w:rsidR="000801A1">
        <w:rPr>
          <w:rFonts w:ascii="Gotham Book" w:hAnsi="Gotham Book"/>
        </w:rPr>
        <w:t xml:space="preserve">The instructions should </w:t>
      </w:r>
      <w:r w:rsidR="00CB63FD">
        <w:rPr>
          <w:rFonts w:ascii="Gotham Book" w:hAnsi="Gotham Book"/>
        </w:rPr>
        <w:t>say</w:t>
      </w:r>
      <w:r w:rsidR="000801A1">
        <w:rPr>
          <w:rFonts w:ascii="Gotham Book" w:hAnsi="Gotham Book"/>
        </w:rPr>
        <w:t xml:space="preserve"> “NTIA Reason Code 3</w:t>
      </w:r>
      <w:r w:rsidR="0045343D">
        <w:rPr>
          <w:rFonts w:ascii="Gotham Book" w:hAnsi="Gotham Book"/>
        </w:rPr>
        <w:t>”</w:t>
      </w:r>
      <w:r w:rsidR="00CB63FD">
        <w:rPr>
          <w:rFonts w:ascii="Gotham Book" w:hAnsi="Gotham Book"/>
        </w:rPr>
        <w:t xml:space="preserve"> </w:t>
      </w:r>
      <w:r w:rsidR="0093655C">
        <w:rPr>
          <w:rFonts w:ascii="Gotham Book" w:hAnsi="Gotham Book"/>
        </w:rPr>
        <w:t>instead of “</w:t>
      </w:r>
      <w:r w:rsidR="001769B2">
        <w:rPr>
          <w:rFonts w:ascii="Gotham Book" w:hAnsi="Gotham Book"/>
        </w:rPr>
        <w:t>NTIA Reason Code 6</w:t>
      </w:r>
      <w:r w:rsidR="000218EB">
        <w:rPr>
          <w:rFonts w:ascii="Gotham Book" w:hAnsi="Gotham Book"/>
        </w:rPr>
        <w:t>.</w:t>
      </w:r>
      <w:r w:rsidR="001769B2">
        <w:rPr>
          <w:rFonts w:ascii="Gotham Book" w:hAnsi="Gotham Book"/>
        </w:rPr>
        <w:t xml:space="preserve">” </w:t>
      </w:r>
    </w:p>
    <w:sectPr w:rsidR="00802413" w:rsidRPr="000801A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C13B8" w14:textId="77777777" w:rsidR="0024164F" w:rsidRDefault="0024164F" w:rsidP="00895FF8">
      <w:r>
        <w:separator/>
      </w:r>
    </w:p>
  </w:endnote>
  <w:endnote w:type="continuationSeparator" w:id="0">
    <w:p w14:paraId="34F55481" w14:textId="77777777" w:rsidR="0024164F" w:rsidRDefault="0024164F" w:rsidP="0089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w:altName w:val="Calibri"/>
    <w:charset w:val="00"/>
    <w:family w:val="auto"/>
    <w:pitch w:val="default"/>
  </w:font>
  <w:font w:name="Gotham Book">
    <w:panose1 w:val="02000604040000020004"/>
    <w:charset w:val="00"/>
    <w:family w:val="modern"/>
    <w:notTrueType/>
    <w:pitch w:val="variable"/>
    <w:sig w:usb0="00000087" w:usb1="00000000"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47B44" w14:textId="77777777" w:rsidR="0024164F" w:rsidRDefault="0024164F" w:rsidP="00895FF8">
      <w:r>
        <w:separator/>
      </w:r>
    </w:p>
  </w:footnote>
  <w:footnote w:type="continuationSeparator" w:id="0">
    <w:p w14:paraId="35359AE9" w14:textId="77777777" w:rsidR="0024164F" w:rsidRDefault="0024164F" w:rsidP="0089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A949" w14:textId="6C65F0FC" w:rsidR="00895FF8" w:rsidRDefault="00895FF8">
    <w:pPr>
      <w:pStyle w:val="Header"/>
    </w:pPr>
    <w:r>
      <w:t>July 2025</w:t>
    </w:r>
    <w:r w:rsidR="00E047E9">
      <w:tab/>
    </w:r>
    <w:r w:rsidR="00E047E9">
      <w:tab/>
      <w:t>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F8"/>
    <w:rsid w:val="00002629"/>
    <w:rsid w:val="000027A3"/>
    <w:rsid w:val="000138CF"/>
    <w:rsid w:val="000218EB"/>
    <w:rsid w:val="000333DC"/>
    <w:rsid w:val="000348AC"/>
    <w:rsid w:val="00035FD1"/>
    <w:rsid w:val="00043594"/>
    <w:rsid w:val="00064B7E"/>
    <w:rsid w:val="00064C74"/>
    <w:rsid w:val="00064F26"/>
    <w:rsid w:val="00073DC1"/>
    <w:rsid w:val="000801A1"/>
    <w:rsid w:val="00085A2B"/>
    <w:rsid w:val="00085DC7"/>
    <w:rsid w:val="000A4BDF"/>
    <w:rsid w:val="000A6333"/>
    <w:rsid w:val="000B0318"/>
    <w:rsid w:val="000B0E19"/>
    <w:rsid w:val="000B177D"/>
    <w:rsid w:val="000B7C12"/>
    <w:rsid w:val="000C3094"/>
    <w:rsid w:val="000C4643"/>
    <w:rsid w:val="000E23D3"/>
    <w:rsid w:val="000F6AB7"/>
    <w:rsid w:val="001004B6"/>
    <w:rsid w:val="00100DB6"/>
    <w:rsid w:val="00100E75"/>
    <w:rsid w:val="00101E6E"/>
    <w:rsid w:val="00101FB9"/>
    <w:rsid w:val="00105D54"/>
    <w:rsid w:val="0011212D"/>
    <w:rsid w:val="00114DF9"/>
    <w:rsid w:val="001157F3"/>
    <w:rsid w:val="00123F5C"/>
    <w:rsid w:val="0012587F"/>
    <w:rsid w:val="0014297F"/>
    <w:rsid w:val="001668B2"/>
    <w:rsid w:val="001769B2"/>
    <w:rsid w:val="00180CFA"/>
    <w:rsid w:val="001905ED"/>
    <w:rsid w:val="001A2B34"/>
    <w:rsid w:val="001B0433"/>
    <w:rsid w:val="001B0956"/>
    <w:rsid w:val="001B22D1"/>
    <w:rsid w:val="001B583B"/>
    <w:rsid w:val="001B68D0"/>
    <w:rsid w:val="001C11D1"/>
    <w:rsid w:val="001C17FD"/>
    <w:rsid w:val="001C20F9"/>
    <w:rsid w:val="001D2758"/>
    <w:rsid w:val="001D3DD6"/>
    <w:rsid w:val="001E2DE8"/>
    <w:rsid w:val="001E7D07"/>
    <w:rsid w:val="001F49B5"/>
    <w:rsid w:val="00204297"/>
    <w:rsid w:val="00207325"/>
    <w:rsid w:val="00207E01"/>
    <w:rsid w:val="002155D4"/>
    <w:rsid w:val="00216132"/>
    <w:rsid w:val="00216F50"/>
    <w:rsid w:val="00224C0E"/>
    <w:rsid w:val="00230E07"/>
    <w:rsid w:val="00233ABE"/>
    <w:rsid w:val="0024164F"/>
    <w:rsid w:val="002432C7"/>
    <w:rsid w:val="00243B2F"/>
    <w:rsid w:val="00245D5C"/>
    <w:rsid w:val="00246E11"/>
    <w:rsid w:val="00254172"/>
    <w:rsid w:val="00260B94"/>
    <w:rsid w:val="002612FB"/>
    <w:rsid w:val="002614F6"/>
    <w:rsid w:val="00262EC6"/>
    <w:rsid w:val="00263624"/>
    <w:rsid w:val="00275187"/>
    <w:rsid w:val="00285BD1"/>
    <w:rsid w:val="00293F21"/>
    <w:rsid w:val="0029597E"/>
    <w:rsid w:val="00297564"/>
    <w:rsid w:val="002A4378"/>
    <w:rsid w:val="002B0A8D"/>
    <w:rsid w:val="002B30FA"/>
    <w:rsid w:val="002C0D71"/>
    <w:rsid w:val="002C2122"/>
    <w:rsid w:val="002C6A2A"/>
    <w:rsid w:val="002D1B5C"/>
    <w:rsid w:val="002D21CF"/>
    <w:rsid w:val="002D311D"/>
    <w:rsid w:val="00302305"/>
    <w:rsid w:val="00303E27"/>
    <w:rsid w:val="003046C4"/>
    <w:rsid w:val="003221F4"/>
    <w:rsid w:val="00325442"/>
    <w:rsid w:val="00326329"/>
    <w:rsid w:val="00326AA1"/>
    <w:rsid w:val="00331D55"/>
    <w:rsid w:val="0033354D"/>
    <w:rsid w:val="00333EFC"/>
    <w:rsid w:val="00351A5C"/>
    <w:rsid w:val="00352DBF"/>
    <w:rsid w:val="00355DA1"/>
    <w:rsid w:val="00370603"/>
    <w:rsid w:val="00380650"/>
    <w:rsid w:val="003808B6"/>
    <w:rsid w:val="00385E92"/>
    <w:rsid w:val="00387A42"/>
    <w:rsid w:val="0039104B"/>
    <w:rsid w:val="003A1378"/>
    <w:rsid w:val="003A5F58"/>
    <w:rsid w:val="003A6427"/>
    <w:rsid w:val="003B03F7"/>
    <w:rsid w:val="003B33DD"/>
    <w:rsid w:val="003C63FB"/>
    <w:rsid w:val="003D09BB"/>
    <w:rsid w:val="003D0C06"/>
    <w:rsid w:val="003D1FEE"/>
    <w:rsid w:val="003E0A44"/>
    <w:rsid w:val="003F1BC2"/>
    <w:rsid w:val="003F40D1"/>
    <w:rsid w:val="003F5FB1"/>
    <w:rsid w:val="00411951"/>
    <w:rsid w:val="00412248"/>
    <w:rsid w:val="0042153F"/>
    <w:rsid w:val="004227A6"/>
    <w:rsid w:val="00423856"/>
    <w:rsid w:val="004258D6"/>
    <w:rsid w:val="00433FA4"/>
    <w:rsid w:val="004503E7"/>
    <w:rsid w:val="0045343D"/>
    <w:rsid w:val="00453ED6"/>
    <w:rsid w:val="00461966"/>
    <w:rsid w:val="00475F84"/>
    <w:rsid w:val="004852E4"/>
    <w:rsid w:val="00487B64"/>
    <w:rsid w:val="00490BCB"/>
    <w:rsid w:val="004940D8"/>
    <w:rsid w:val="004A6FA4"/>
    <w:rsid w:val="004B1F50"/>
    <w:rsid w:val="004B4271"/>
    <w:rsid w:val="004C33DB"/>
    <w:rsid w:val="004C4930"/>
    <w:rsid w:val="004D06C2"/>
    <w:rsid w:val="004D0897"/>
    <w:rsid w:val="004D2AEB"/>
    <w:rsid w:val="004D7DD4"/>
    <w:rsid w:val="004F16A1"/>
    <w:rsid w:val="004F71A2"/>
    <w:rsid w:val="004F781A"/>
    <w:rsid w:val="0051021A"/>
    <w:rsid w:val="00510CCC"/>
    <w:rsid w:val="00511FEB"/>
    <w:rsid w:val="005341F6"/>
    <w:rsid w:val="00544DE7"/>
    <w:rsid w:val="005517CF"/>
    <w:rsid w:val="00555329"/>
    <w:rsid w:val="005719F8"/>
    <w:rsid w:val="00573473"/>
    <w:rsid w:val="005766DA"/>
    <w:rsid w:val="00583581"/>
    <w:rsid w:val="00584786"/>
    <w:rsid w:val="00585A99"/>
    <w:rsid w:val="005878B4"/>
    <w:rsid w:val="00587ED6"/>
    <w:rsid w:val="0059009E"/>
    <w:rsid w:val="0059783F"/>
    <w:rsid w:val="005A65DA"/>
    <w:rsid w:val="005B05B2"/>
    <w:rsid w:val="005B1C02"/>
    <w:rsid w:val="005B4E6D"/>
    <w:rsid w:val="005C00AA"/>
    <w:rsid w:val="005C19B4"/>
    <w:rsid w:val="005C3CCA"/>
    <w:rsid w:val="005C6FAF"/>
    <w:rsid w:val="005D5E08"/>
    <w:rsid w:val="005D7859"/>
    <w:rsid w:val="005E52BC"/>
    <w:rsid w:val="005F186D"/>
    <w:rsid w:val="005F37EA"/>
    <w:rsid w:val="005F5D8E"/>
    <w:rsid w:val="00610427"/>
    <w:rsid w:val="006150AB"/>
    <w:rsid w:val="0062751A"/>
    <w:rsid w:val="00634523"/>
    <w:rsid w:val="0064146C"/>
    <w:rsid w:val="00644948"/>
    <w:rsid w:val="0065459D"/>
    <w:rsid w:val="006557FA"/>
    <w:rsid w:val="00656D04"/>
    <w:rsid w:val="006662FF"/>
    <w:rsid w:val="006676DF"/>
    <w:rsid w:val="00671D18"/>
    <w:rsid w:val="006721CD"/>
    <w:rsid w:val="0069145F"/>
    <w:rsid w:val="00692321"/>
    <w:rsid w:val="006A04BB"/>
    <w:rsid w:val="006A2B5D"/>
    <w:rsid w:val="006B6ABE"/>
    <w:rsid w:val="006E1110"/>
    <w:rsid w:val="006E12DF"/>
    <w:rsid w:val="006F6ED6"/>
    <w:rsid w:val="00707D3E"/>
    <w:rsid w:val="007162E0"/>
    <w:rsid w:val="0072448D"/>
    <w:rsid w:val="0072456A"/>
    <w:rsid w:val="00744324"/>
    <w:rsid w:val="00757B69"/>
    <w:rsid w:val="007606AB"/>
    <w:rsid w:val="00762039"/>
    <w:rsid w:val="0076540B"/>
    <w:rsid w:val="007659AF"/>
    <w:rsid w:val="00767425"/>
    <w:rsid w:val="007708C9"/>
    <w:rsid w:val="00770EFF"/>
    <w:rsid w:val="00776951"/>
    <w:rsid w:val="00777329"/>
    <w:rsid w:val="00786D3B"/>
    <w:rsid w:val="00793D81"/>
    <w:rsid w:val="007A486C"/>
    <w:rsid w:val="007A6054"/>
    <w:rsid w:val="007B0819"/>
    <w:rsid w:val="007B2F2A"/>
    <w:rsid w:val="007B370C"/>
    <w:rsid w:val="007B4394"/>
    <w:rsid w:val="007C0916"/>
    <w:rsid w:val="007C3994"/>
    <w:rsid w:val="007C3FD1"/>
    <w:rsid w:val="007C5277"/>
    <w:rsid w:val="007D1585"/>
    <w:rsid w:val="007D2B42"/>
    <w:rsid w:val="007F2C75"/>
    <w:rsid w:val="00802413"/>
    <w:rsid w:val="008104B5"/>
    <w:rsid w:val="00812AEB"/>
    <w:rsid w:val="008156A1"/>
    <w:rsid w:val="00815B9A"/>
    <w:rsid w:val="008369B5"/>
    <w:rsid w:val="00841DB6"/>
    <w:rsid w:val="0085615D"/>
    <w:rsid w:val="00857627"/>
    <w:rsid w:val="008631C8"/>
    <w:rsid w:val="00864924"/>
    <w:rsid w:val="00874802"/>
    <w:rsid w:val="008756B0"/>
    <w:rsid w:val="00886304"/>
    <w:rsid w:val="00894009"/>
    <w:rsid w:val="00895FF8"/>
    <w:rsid w:val="008A601A"/>
    <w:rsid w:val="008B0754"/>
    <w:rsid w:val="008C2F8A"/>
    <w:rsid w:val="008C788C"/>
    <w:rsid w:val="008E7E41"/>
    <w:rsid w:val="00901943"/>
    <w:rsid w:val="00905836"/>
    <w:rsid w:val="00917186"/>
    <w:rsid w:val="009268BF"/>
    <w:rsid w:val="009335B8"/>
    <w:rsid w:val="0093655C"/>
    <w:rsid w:val="00947991"/>
    <w:rsid w:val="00950DB6"/>
    <w:rsid w:val="0096131D"/>
    <w:rsid w:val="009614ED"/>
    <w:rsid w:val="00961C2B"/>
    <w:rsid w:val="009643E7"/>
    <w:rsid w:val="00964A83"/>
    <w:rsid w:val="00980566"/>
    <w:rsid w:val="00994A8A"/>
    <w:rsid w:val="00997312"/>
    <w:rsid w:val="009A5834"/>
    <w:rsid w:val="009B4737"/>
    <w:rsid w:val="009C015E"/>
    <w:rsid w:val="009C11CF"/>
    <w:rsid w:val="009C2D63"/>
    <w:rsid w:val="009D25A6"/>
    <w:rsid w:val="009E0B24"/>
    <w:rsid w:val="009E303D"/>
    <w:rsid w:val="009E4395"/>
    <w:rsid w:val="009E4570"/>
    <w:rsid w:val="00A066D7"/>
    <w:rsid w:val="00A110FA"/>
    <w:rsid w:val="00A139EB"/>
    <w:rsid w:val="00A13BFC"/>
    <w:rsid w:val="00A13FCF"/>
    <w:rsid w:val="00A20A15"/>
    <w:rsid w:val="00A20E4E"/>
    <w:rsid w:val="00A26FB9"/>
    <w:rsid w:val="00A31254"/>
    <w:rsid w:val="00A3480F"/>
    <w:rsid w:val="00A43313"/>
    <w:rsid w:val="00A43357"/>
    <w:rsid w:val="00A47C22"/>
    <w:rsid w:val="00A50B4B"/>
    <w:rsid w:val="00A56B58"/>
    <w:rsid w:val="00A6261F"/>
    <w:rsid w:val="00A67080"/>
    <w:rsid w:val="00A67601"/>
    <w:rsid w:val="00A704E4"/>
    <w:rsid w:val="00A72D9C"/>
    <w:rsid w:val="00A7653A"/>
    <w:rsid w:val="00A76F75"/>
    <w:rsid w:val="00A80C13"/>
    <w:rsid w:val="00A831F2"/>
    <w:rsid w:val="00A84B2D"/>
    <w:rsid w:val="00A959B8"/>
    <w:rsid w:val="00A964BA"/>
    <w:rsid w:val="00AA3BBA"/>
    <w:rsid w:val="00AA438C"/>
    <w:rsid w:val="00AB1DD1"/>
    <w:rsid w:val="00AC1CF2"/>
    <w:rsid w:val="00AC3221"/>
    <w:rsid w:val="00AC416E"/>
    <w:rsid w:val="00AE031D"/>
    <w:rsid w:val="00AE0E0D"/>
    <w:rsid w:val="00AE3627"/>
    <w:rsid w:val="00B05E05"/>
    <w:rsid w:val="00B26EFA"/>
    <w:rsid w:val="00B27C0C"/>
    <w:rsid w:val="00B3661D"/>
    <w:rsid w:val="00B40392"/>
    <w:rsid w:val="00B43AA8"/>
    <w:rsid w:val="00B43C45"/>
    <w:rsid w:val="00B64D93"/>
    <w:rsid w:val="00B714D6"/>
    <w:rsid w:val="00B7263A"/>
    <w:rsid w:val="00B7396D"/>
    <w:rsid w:val="00B814CA"/>
    <w:rsid w:val="00B818A7"/>
    <w:rsid w:val="00B86C9B"/>
    <w:rsid w:val="00B87A7C"/>
    <w:rsid w:val="00B90DE3"/>
    <w:rsid w:val="00B91E90"/>
    <w:rsid w:val="00B96922"/>
    <w:rsid w:val="00BA020F"/>
    <w:rsid w:val="00BA1054"/>
    <w:rsid w:val="00BA20B4"/>
    <w:rsid w:val="00BD1A1A"/>
    <w:rsid w:val="00BD6F41"/>
    <w:rsid w:val="00BE1E3D"/>
    <w:rsid w:val="00BE4077"/>
    <w:rsid w:val="00BE4A95"/>
    <w:rsid w:val="00BE701D"/>
    <w:rsid w:val="00BF0016"/>
    <w:rsid w:val="00C0119F"/>
    <w:rsid w:val="00C052E6"/>
    <w:rsid w:val="00C2519D"/>
    <w:rsid w:val="00C25CAA"/>
    <w:rsid w:val="00C308D1"/>
    <w:rsid w:val="00C32AB7"/>
    <w:rsid w:val="00C43CB9"/>
    <w:rsid w:val="00C46435"/>
    <w:rsid w:val="00C511B0"/>
    <w:rsid w:val="00C5618B"/>
    <w:rsid w:val="00C56B53"/>
    <w:rsid w:val="00C57690"/>
    <w:rsid w:val="00C643C3"/>
    <w:rsid w:val="00C71830"/>
    <w:rsid w:val="00C85E4F"/>
    <w:rsid w:val="00C94405"/>
    <w:rsid w:val="00CA5AA8"/>
    <w:rsid w:val="00CB63FD"/>
    <w:rsid w:val="00CC4130"/>
    <w:rsid w:val="00CC6D58"/>
    <w:rsid w:val="00CC72A2"/>
    <w:rsid w:val="00CD0403"/>
    <w:rsid w:val="00CD34F4"/>
    <w:rsid w:val="00CD57E5"/>
    <w:rsid w:val="00CE02B6"/>
    <w:rsid w:val="00CE0647"/>
    <w:rsid w:val="00CE506E"/>
    <w:rsid w:val="00CF56CC"/>
    <w:rsid w:val="00CF5A51"/>
    <w:rsid w:val="00D01698"/>
    <w:rsid w:val="00D0290D"/>
    <w:rsid w:val="00D060AA"/>
    <w:rsid w:val="00D119D3"/>
    <w:rsid w:val="00D11A95"/>
    <w:rsid w:val="00D12B44"/>
    <w:rsid w:val="00D15F1F"/>
    <w:rsid w:val="00D16DF9"/>
    <w:rsid w:val="00D27A4B"/>
    <w:rsid w:val="00D554A7"/>
    <w:rsid w:val="00D61530"/>
    <w:rsid w:val="00D64B64"/>
    <w:rsid w:val="00D72717"/>
    <w:rsid w:val="00D77FED"/>
    <w:rsid w:val="00D80AC5"/>
    <w:rsid w:val="00D82A7B"/>
    <w:rsid w:val="00D931E5"/>
    <w:rsid w:val="00D93DE8"/>
    <w:rsid w:val="00D9579E"/>
    <w:rsid w:val="00DC1DC5"/>
    <w:rsid w:val="00DC48C7"/>
    <w:rsid w:val="00DC5E7E"/>
    <w:rsid w:val="00DE3D5A"/>
    <w:rsid w:val="00DE6ABF"/>
    <w:rsid w:val="00DE6EAF"/>
    <w:rsid w:val="00DF03D6"/>
    <w:rsid w:val="00E01DB4"/>
    <w:rsid w:val="00E047E9"/>
    <w:rsid w:val="00E16869"/>
    <w:rsid w:val="00E27D39"/>
    <w:rsid w:val="00E321F2"/>
    <w:rsid w:val="00E476A3"/>
    <w:rsid w:val="00E53780"/>
    <w:rsid w:val="00E549A1"/>
    <w:rsid w:val="00E57364"/>
    <w:rsid w:val="00E61FDC"/>
    <w:rsid w:val="00E62132"/>
    <w:rsid w:val="00E67C96"/>
    <w:rsid w:val="00E75291"/>
    <w:rsid w:val="00E752F5"/>
    <w:rsid w:val="00E86659"/>
    <w:rsid w:val="00EA4BCB"/>
    <w:rsid w:val="00EC373A"/>
    <w:rsid w:val="00EC4BB7"/>
    <w:rsid w:val="00ED44B5"/>
    <w:rsid w:val="00ED5B53"/>
    <w:rsid w:val="00ED6469"/>
    <w:rsid w:val="00EE448A"/>
    <w:rsid w:val="00EE468E"/>
    <w:rsid w:val="00EE5DD0"/>
    <w:rsid w:val="00EF71F8"/>
    <w:rsid w:val="00F125BE"/>
    <w:rsid w:val="00F138C1"/>
    <w:rsid w:val="00F14F91"/>
    <w:rsid w:val="00F22BD7"/>
    <w:rsid w:val="00F3110D"/>
    <w:rsid w:val="00F35464"/>
    <w:rsid w:val="00F53299"/>
    <w:rsid w:val="00F65DFD"/>
    <w:rsid w:val="00F83B19"/>
    <w:rsid w:val="00F961A2"/>
    <w:rsid w:val="00FB7F2C"/>
    <w:rsid w:val="00FC63DC"/>
    <w:rsid w:val="00FE2EA4"/>
    <w:rsid w:val="00FE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0116"/>
  <w15:chartTrackingRefBased/>
  <w15:docId w15:val="{83198CA1-D2C4-4ABD-90E6-93663640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FF8"/>
    <w:pPr>
      <w:spacing w:after="0" w:line="240" w:lineRule="auto"/>
    </w:pPr>
    <w:rPr>
      <w:rFonts w:ascii="Aptos" w:hAnsi="Aptos"/>
      <w:kern w:val="0"/>
      <w14:ligatures w14:val="none"/>
    </w:rPr>
  </w:style>
  <w:style w:type="paragraph" w:styleId="Heading1">
    <w:name w:val="heading 1"/>
    <w:basedOn w:val="Normal"/>
    <w:next w:val="Normal"/>
    <w:link w:val="Heading1Char"/>
    <w:uiPriority w:val="9"/>
    <w:qFormat/>
    <w:rsid w:val="00895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F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F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95F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95F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5F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5F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5F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FF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F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95F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95F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5F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5F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5F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5F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FF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F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5FF8"/>
    <w:pPr>
      <w:spacing w:before="160"/>
      <w:jc w:val="center"/>
    </w:pPr>
    <w:rPr>
      <w:i/>
      <w:iCs/>
      <w:color w:val="404040" w:themeColor="text1" w:themeTint="BF"/>
    </w:rPr>
  </w:style>
  <w:style w:type="character" w:customStyle="1" w:styleId="QuoteChar">
    <w:name w:val="Quote Char"/>
    <w:basedOn w:val="DefaultParagraphFont"/>
    <w:link w:val="Quote"/>
    <w:uiPriority w:val="29"/>
    <w:rsid w:val="00895FF8"/>
    <w:rPr>
      <w:i/>
      <w:iCs/>
      <w:color w:val="404040" w:themeColor="text1" w:themeTint="BF"/>
    </w:rPr>
  </w:style>
  <w:style w:type="paragraph" w:styleId="ListParagraph">
    <w:name w:val="List Paragraph"/>
    <w:basedOn w:val="Normal"/>
    <w:uiPriority w:val="34"/>
    <w:qFormat/>
    <w:rsid w:val="00895FF8"/>
    <w:pPr>
      <w:ind w:left="720"/>
      <w:contextualSpacing/>
    </w:pPr>
  </w:style>
  <w:style w:type="character" w:styleId="IntenseEmphasis">
    <w:name w:val="Intense Emphasis"/>
    <w:basedOn w:val="DefaultParagraphFont"/>
    <w:uiPriority w:val="21"/>
    <w:qFormat/>
    <w:rsid w:val="00895FF8"/>
    <w:rPr>
      <w:i/>
      <w:iCs/>
      <w:color w:val="0F4761" w:themeColor="accent1" w:themeShade="BF"/>
    </w:rPr>
  </w:style>
  <w:style w:type="paragraph" w:styleId="IntenseQuote">
    <w:name w:val="Intense Quote"/>
    <w:basedOn w:val="Normal"/>
    <w:next w:val="Normal"/>
    <w:link w:val="IntenseQuoteChar"/>
    <w:uiPriority w:val="30"/>
    <w:qFormat/>
    <w:rsid w:val="00895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FF8"/>
    <w:rPr>
      <w:i/>
      <w:iCs/>
      <w:color w:val="0F4761" w:themeColor="accent1" w:themeShade="BF"/>
    </w:rPr>
  </w:style>
  <w:style w:type="character" w:styleId="IntenseReference">
    <w:name w:val="Intense Reference"/>
    <w:basedOn w:val="DefaultParagraphFont"/>
    <w:uiPriority w:val="32"/>
    <w:qFormat/>
    <w:rsid w:val="00895FF8"/>
    <w:rPr>
      <w:b/>
      <w:bCs/>
      <w:smallCaps/>
      <w:color w:val="0F4761" w:themeColor="accent1" w:themeShade="BF"/>
      <w:spacing w:val="5"/>
    </w:rPr>
  </w:style>
  <w:style w:type="paragraph" w:styleId="Header">
    <w:name w:val="header"/>
    <w:basedOn w:val="Normal"/>
    <w:link w:val="HeaderChar"/>
    <w:uiPriority w:val="99"/>
    <w:unhideWhenUsed/>
    <w:rsid w:val="00895FF8"/>
    <w:pPr>
      <w:tabs>
        <w:tab w:val="center" w:pos="4680"/>
        <w:tab w:val="right" w:pos="9360"/>
      </w:tabs>
    </w:pPr>
  </w:style>
  <w:style w:type="character" w:customStyle="1" w:styleId="HeaderChar">
    <w:name w:val="Header Char"/>
    <w:basedOn w:val="DefaultParagraphFont"/>
    <w:link w:val="Header"/>
    <w:uiPriority w:val="99"/>
    <w:rsid w:val="00895FF8"/>
    <w:rPr>
      <w:rFonts w:ascii="Aptos" w:hAnsi="Aptos"/>
      <w:kern w:val="0"/>
      <w14:ligatures w14:val="none"/>
    </w:rPr>
  </w:style>
  <w:style w:type="paragraph" w:styleId="Footer">
    <w:name w:val="footer"/>
    <w:basedOn w:val="Normal"/>
    <w:link w:val="FooterChar"/>
    <w:uiPriority w:val="99"/>
    <w:unhideWhenUsed/>
    <w:rsid w:val="00895FF8"/>
    <w:pPr>
      <w:tabs>
        <w:tab w:val="center" w:pos="4680"/>
        <w:tab w:val="right" w:pos="9360"/>
      </w:tabs>
    </w:pPr>
  </w:style>
  <w:style w:type="character" w:customStyle="1" w:styleId="FooterChar">
    <w:name w:val="Footer Char"/>
    <w:basedOn w:val="DefaultParagraphFont"/>
    <w:link w:val="Footer"/>
    <w:uiPriority w:val="99"/>
    <w:rsid w:val="00895FF8"/>
    <w:rPr>
      <w:rFonts w:ascii="Aptos" w:hAnsi="Aptos"/>
      <w:kern w:val="0"/>
      <w14:ligatures w14:val="none"/>
    </w:rPr>
  </w:style>
  <w:style w:type="character" w:styleId="Hyperlink">
    <w:name w:val="Hyperlink"/>
    <w:basedOn w:val="DefaultParagraphFont"/>
    <w:uiPriority w:val="99"/>
    <w:unhideWhenUsed/>
    <w:rsid w:val="00895FF8"/>
    <w:rPr>
      <w:color w:val="467886" w:themeColor="hyperlink"/>
      <w:u w:val="single"/>
    </w:rPr>
  </w:style>
  <w:style w:type="character" w:styleId="UnresolvedMention">
    <w:name w:val="Unresolved Mention"/>
    <w:basedOn w:val="DefaultParagraphFont"/>
    <w:uiPriority w:val="99"/>
    <w:semiHidden/>
    <w:unhideWhenUsed/>
    <w:rsid w:val="00895FF8"/>
    <w:rPr>
      <w:color w:val="605E5C"/>
      <w:shd w:val="clear" w:color="auto" w:fill="E1DFDD"/>
    </w:rPr>
  </w:style>
  <w:style w:type="paragraph" w:styleId="Revision">
    <w:name w:val="Revision"/>
    <w:hidden/>
    <w:uiPriority w:val="99"/>
    <w:semiHidden/>
    <w:rsid w:val="00F83B19"/>
    <w:pPr>
      <w:spacing w:after="0" w:line="240" w:lineRule="auto"/>
    </w:pPr>
    <w:rPr>
      <w:rFonts w:ascii="Aptos" w:hAnsi="Aptos"/>
      <w:kern w:val="0"/>
      <w14:ligatures w14:val="none"/>
    </w:rPr>
  </w:style>
  <w:style w:type="character" w:styleId="CommentReference">
    <w:name w:val="annotation reference"/>
    <w:basedOn w:val="DefaultParagraphFont"/>
    <w:uiPriority w:val="99"/>
    <w:semiHidden/>
    <w:unhideWhenUsed/>
    <w:rsid w:val="00777329"/>
    <w:rPr>
      <w:sz w:val="16"/>
      <w:szCs w:val="16"/>
    </w:rPr>
  </w:style>
  <w:style w:type="paragraph" w:styleId="CommentText">
    <w:name w:val="annotation text"/>
    <w:basedOn w:val="Normal"/>
    <w:link w:val="CommentTextChar"/>
    <w:uiPriority w:val="99"/>
    <w:semiHidden/>
    <w:unhideWhenUsed/>
    <w:rsid w:val="00777329"/>
    <w:rPr>
      <w:sz w:val="20"/>
      <w:szCs w:val="20"/>
    </w:rPr>
  </w:style>
  <w:style w:type="character" w:customStyle="1" w:styleId="CommentTextChar">
    <w:name w:val="Comment Text Char"/>
    <w:basedOn w:val="DefaultParagraphFont"/>
    <w:link w:val="CommentText"/>
    <w:uiPriority w:val="99"/>
    <w:semiHidden/>
    <w:rsid w:val="00777329"/>
    <w:rPr>
      <w:rFonts w:ascii="Aptos" w:hAnsi="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7329"/>
    <w:rPr>
      <w:b/>
      <w:bCs/>
    </w:rPr>
  </w:style>
  <w:style w:type="character" w:customStyle="1" w:styleId="CommentSubjectChar">
    <w:name w:val="Comment Subject Char"/>
    <w:basedOn w:val="CommentTextChar"/>
    <w:link w:val="CommentSubject"/>
    <w:uiPriority w:val="99"/>
    <w:semiHidden/>
    <w:rsid w:val="00777329"/>
    <w:rPr>
      <w:rFonts w:ascii="Aptos" w:hAnsi="Apto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60724">
      <w:bodyDiv w:val="1"/>
      <w:marLeft w:val="0"/>
      <w:marRight w:val="0"/>
      <w:marTop w:val="0"/>
      <w:marBottom w:val="0"/>
      <w:divBdr>
        <w:top w:val="none" w:sz="0" w:space="0" w:color="auto"/>
        <w:left w:val="none" w:sz="0" w:space="0" w:color="auto"/>
        <w:bottom w:val="none" w:sz="0" w:space="0" w:color="auto"/>
        <w:right w:val="none" w:sz="0" w:space="0" w:color="auto"/>
      </w:divBdr>
      <w:divsChild>
        <w:div w:id="315841326">
          <w:marLeft w:val="0"/>
          <w:marRight w:val="0"/>
          <w:marTop w:val="0"/>
          <w:marBottom w:val="0"/>
          <w:divBdr>
            <w:top w:val="none" w:sz="0" w:space="0" w:color="auto"/>
            <w:left w:val="none" w:sz="0" w:space="0" w:color="auto"/>
            <w:bottom w:val="none" w:sz="0" w:space="0" w:color="auto"/>
            <w:right w:val="none" w:sz="0" w:space="0" w:color="auto"/>
          </w:divBdr>
        </w:div>
        <w:div w:id="377556635">
          <w:marLeft w:val="0"/>
          <w:marRight w:val="0"/>
          <w:marTop w:val="0"/>
          <w:marBottom w:val="0"/>
          <w:divBdr>
            <w:top w:val="none" w:sz="0" w:space="0" w:color="auto"/>
            <w:left w:val="none" w:sz="0" w:space="0" w:color="auto"/>
            <w:bottom w:val="none" w:sz="0" w:space="0" w:color="auto"/>
            <w:right w:val="none" w:sz="0" w:space="0" w:color="auto"/>
          </w:divBdr>
        </w:div>
        <w:div w:id="395713901">
          <w:marLeft w:val="0"/>
          <w:marRight w:val="0"/>
          <w:marTop w:val="0"/>
          <w:marBottom w:val="0"/>
          <w:divBdr>
            <w:top w:val="none" w:sz="0" w:space="0" w:color="auto"/>
            <w:left w:val="none" w:sz="0" w:space="0" w:color="auto"/>
            <w:bottom w:val="none" w:sz="0" w:space="0" w:color="auto"/>
            <w:right w:val="none" w:sz="0" w:space="0" w:color="auto"/>
          </w:divBdr>
        </w:div>
        <w:div w:id="411002961">
          <w:marLeft w:val="0"/>
          <w:marRight w:val="0"/>
          <w:marTop w:val="0"/>
          <w:marBottom w:val="0"/>
          <w:divBdr>
            <w:top w:val="none" w:sz="0" w:space="0" w:color="auto"/>
            <w:left w:val="none" w:sz="0" w:space="0" w:color="auto"/>
            <w:bottom w:val="none" w:sz="0" w:space="0" w:color="auto"/>
            <w:right w:val="none" w:sz="0" w:space="0" w:color="auto"/>
          </w:divBdr>
        </w:div>
        <w:div w:id="527840117">
          <w:marLeft w:val="0"/>
          <w:marRight w:val="0"/>
          <w:marTop w:val="0"/>
          <w:marBottom w:val="0"/>
          <w:divBdr>
            <w:top w:val="none" w:sz="0" w:space="0" w:color="auto"/>
            <w:left w:val="none" w:sz="0" w:space="0" w:color="auto"/>
            <w:bottom w:val="none" w:sz="0" w:space="0" w:color="auto"/>
            <w:right w:val="none" w:sz="0" w:space="0" w:color="auto"/>
          </w:divBdr>
        </w:div>
        <w:div w:id="552424032">
          <w:marLeft w:val="0"/>
          <w:marRight w:val="0"/>
          <w:marTop w:val="0"/>
          <w:marBottom w:val="0"/>
          <w:divBdr>
            <w:top w:val="none" w:sz="0" w:space="0" w:color="auto"/>
            <w:left w:val="none" w:sz="0" w:space="0" w:color="auto"/>
            <w:bottom w:val="none" w:sz="0" w:space="0" w:color="auto"/>
            <w:right w:val="none" w:sz="0" w:space="0" w:color="auto"/>
          </w:divBdr>
        </w:div>
        <w:div w:id="877202572">
          <w:marLeft w:val="0"/>
          <w:marRight w:val="0"/>
          <w:marTop w:val="0"/>
          <w:marBottom w:val="0"/>
          <w:divBdr>
            <w:top w:val="none" w:sz="0" w:space="0" w:color="auto"/>
            <w:left w:val="none" w:sz="0" w:space="0" w:color="auto"/>
            <w:bottom w:val="none" w:sz="0" w:space="0" w:color="auto"/>
            <w:right w:val="none" w:sz="0" w:space="0" w:color="auto"/>
          </w:divBdr>
        </w:div>
        <w:div w:id="982462484">
          <w:marLeft w:val="0"/>
          <w:marRight w:val="0"/>
          <w:marTop w:val="0"/>
          <w:marBottom w:val="0"/>
          <w:divBdr>
            <w:top w:val="none" w:sz="0" w:space="0" w:color="auto"/>
            <w:left w:val="none" w:sz="0" w:space="0" w:color="auto"/>
            <w:bottom w:val="none" w:sz="0" w:space="0" w:color="auto"/>
            <w:right w:val="none" w:sz="0" w:space="0" w:color="auto"/>
          </w:divBdr>
        </w:div>
        <w:div w:id="1577548159">
          <w:marLeft w:val="0"/>
          <w:marRight w:val="0"/>
          <w:marTop w:val="0"/>
          <w:marBottom w:val="0"/>
          <w:divBdr>
            <w:top w:val="none" w:sz="0" w:space="0" w:color="auto"/>
            <w:left w:val="none" w:sz="0" w:space="0" w:color="auto"/>
            <w:bottom w:val="none" w:sz="0" w:space="0" w:color="auto"/>
            <w:right w:val="none" w:sz="0" w:space="0" w:color="auto"/>
          </w:divBdr>
        </w:div>
        <w:div w:id="1639066722">
          <w:marLeft w:val="0"/>
          <w:marRight w:val="0"/>
          <w:marTop w:val="0"/>
          <w:marBottom w:val="0"/>
          <w:divBdr>
            <w:top w:val="none" w:sz="0" w:space="0" w:color="auto"/>
            <w:left w:val="none" w:sz="0" w:space="0" w:color="auto"/>
            <w:bottom w:val="none" w:sz="0" w:space="0" w:color="auto"/>
            <w:right w:val="none" w:sz="0" w:space="0" w:color="auto"/>
          </w:divBdr>
        </w:div>
        <w:div w:id="2129346882">
          <w:marLeft w:val="0"/>
          <w:marRight w:val="0"/>
          <w:marTop w:val="0"/>
          <w:marBottom w:val="0"/>
          <w:divBdr>
            <w:top w:val="none" w:sz="0" w:space="0" w:color="auto"/>
            <w:left w:val="none" w:sz="0" w:space="0" w:color="auto"/>
            <w:bottom w:val="none" w:sz="0" w:space="0" w:color="auto"/>
            <w:right w:val="none" w:sz="0" w:space="0" w:color="auto"/>
          </w:divBdr>
        </w:div>
      </w:divsChild>
    </w:div>
    <w:div w:id="2122217925">
      <w:bodyDiv w:val="1"/>
      <w:marLeft w:val="0"/>
      <w:marRight w:val="0"/>
      <w:marTop w:val="0"/>
      <w:marBottom w:val="0"/>
      <w:divBdr>
        <w:top w:val="none" w:sz="0" w:space="0" w:color="auto"/>
        <w:left w:val="none" w:sz="0" w:space="0" w:color="auto"/>
        <w:bottom w:val="none" w:sz="0" w:space="0" w:color="auto"/>
        <w:right w:val="none" w:sz="0" w:space="0" w:color="auto"/>
      </w:divBdr>
      <w:divsChild>
        <w:div w:id="2242063">
          <w:marLeft w:val="0"/>
          <w:marRight w:val="0"/>
          <w:marTop w:val="0"/>
          <w:marBottom w:val="0"/>
          <w:divBdr>
            <w:top w:val="none" w:sz="0" w:space="0" w:color="auto"/>
            <w:left w:val="none" w:sz="0" w:space="0" w:color="auto"/>
            <w:bottom w:val="none" w:sz="0" w:space="0" w:color="auto"/>
            <w:right w:val="none" w:sz="0" w:space="0" w:color="auto"/>
          </w:divBdr>
        </w:div>
        <w:div w:id="91560805">
          <w:marLeft w:val="0"/>
          <w:marRight w:val="0"/>
          <w:marTop w:val="0"/>
          <w:marBottom w:val="0"/>
          <w:divBdr>
            <w:top w:val="none" w:sz="0" w:space="0" w:color="auto"/>
            <w:left w:val="none" w:sz="0" w:space="0" w:color="auto"/>
            <w:bottom w:val="none" w:sz="0" w:space="0" w:color="auto"/>
            <w:right w:val="none" w:sz="0" w:space="0" w:color="auto"/>
          </w:divBdr>
        </w:div>
        <w:div w:id="226192255">
          <w:marLeft w:val="0"/>
          <w:marRight w:val="0"/>
          <w:marTop w:val="0"/>
          <w:marBottom w:val="0"/>
          <w:divBdr>
            <w:top w:val="none" w:sz="0" w:space="0" w:color="auto"/>
            <w:left w:val="none" w:sz="0" w:space="0" w:color="auto"/>
            <w:bottom w:val="none" w:sz="0" w:space="0" w:color="auto"/>
            <w:right w:val="none" w:sz="0" w:space="0" w:color="auto"/>
          </w:divBdr>
        </w:div>
        <w:div w:id="253056993">
          <w:marLeft w:val="0"/>
          <w:marRight w:val="0"/>
          <w:marTop w:val="0"/>
          <w:marBottom w:val="0"/>
          <w:divBdr>
            <w:top w:val="none" w:sz="0" w:space="0" w:color="auto"/>
            <w:left w:val="none" w:sz="0" w:space="0" w:color="auto"/>
            <w:bottom w:val="none" w:sz="0" w:space="0" w:color="auto"/>
            <w:right w:val="none" w:sz="0" w:space="0" w:color="auto"/>
          </w:divBdr>
        </w:div>
        <w:div w:id="1274242050">
          <w:marLeft w:val="0"/>
          <w:marRight w:val="0"/>
          <w:marTop w:val="0"/>
          <w:marBottom w:val="0"/>
          <w:divBdr>
            <w:top w:val="none" w:sz="0" w:space="0" w:color="auto"/>
            <w:left w:val="none" w:sz="0" w:space="0" w:color="auto"/>
            <w:bottom w:val="none" w:sz="0" w:space="0" w:color="auto"/>
            <w:right w:val="none" w:sz="0" w:space="0" w:color="auto"/>
          </w:divBdr>
        </w:div>
        <w:div w:id="1352611714">
          <w:marLeft w:val="0"/>
          <w:marRight w:val="0"/>
          <w:marTop w:val="0"/>
          <w:marBottom w:val="0"/>
          <w:divBdr>
            <w:top w:val="none" w:sz="0" w:space="0" w:color="auto"/>
            <w:left w:val="none" w:sz="0" w:space="0" w:color="auto"/>
            <w:bottom w:val="none" w:sz="0" w:space="0" w:color="auto"/>
            <w:right w:val="none" w:sz="0" w:space="0" w:color="auto"/>
          </w:divBdr>
        </w:div>
        <w:div w:id="1704211877">
          <w:marLeft w:val="0"/>
          <w:marRight w:val="0"/>
          <w:marTop w:val="0"/>
          <w:marBottom w:val="0"/>
          <w:divBdr>
            <w:top w:val="none" w:sz="0" w:space="0" w:color="auto"/>
            <w:left w:val="none" w:sz="0" w:space="0" w:color="auto"/>
            <w:bottom w:val="none" w:sz="0" w:space="0" w:color="auto"/>
            <w:right w:val="none" w:sz="0" w:space="0" w:color="auto"/>
          </w:divBdr>
        </w:div>
        <w:div w:id="1712682849">
          <w:marLeft w:val="0"/>
          <w:marRight w:val="0"/>
          <w:marTop w:val="0"/>
          <w:marBottom w:val="0"/>
          <w:divBdr>
            <w:top w:val="none" w:sz="0" w:space="0" w:color="auto"/>
            <w:left w:val="none" w:sz="0" w:space="0" w:color="auto"/>
            <w:bottom w:val="none" w:sz="0" w:space="0" w:color="auto"/>
            <w:right w:val="none" w:sz="0" w:space="0" w:color="auto"/>
          </w:divBdr>
        </w:div>
        <w:div w:id="1775247175">
          <w:marLeft w:val="0"/>
          <w:marRight w:val="0"/>
          <w:marTop w:val="0"/>
          <w:marBottom w:val="0"/>
          <w:divBdr>
            <w:top w:val="none" w:sz="0" w:space="0" w:color="auto"/>
            <w:left w:val="none" w:sz="0" w:space="0" w:color="auto"/>
            <w:bottom w:val="none" w:sz="0" w:space="0" w:color="auto"/>
            <w:right w:val="none" w:sz="0" w:space="0" w:color="auto"/>
          </w:divBdr>
        </w:div>
        <w:div w:id="1832209589">
          <w:marLeft w:val="0"/>
          <w:marRight w:val="0"/>
          <w:marTop w:val="0"/>
          <w:marBottom w:val="0"/>
          <w:divBdr>
            <w:top w:val="none" w:sz="0" w:space="0" w:color="auto"/>
            <w:left w:val="none" w:sz="0" w:space="0" w:color="auto"/>
            <w:bottom w:val="none" w:sz="0" w:space="0" w:color="auto"/>
            <w:right w:val="none" w:sz="0" w:space="0" w:color="auto"/>
          </w:divBdr>
        </w:div>
        <w:div w:id="195606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iscal.treasury.gov/surety-bonds/circular-570.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tia.gov/sites/default/files/2025-06/bead-restructuring-policy-notic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ia.gov/sites/default/files/2025-06/bead-restructuring-policy-notic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0C592A3D9B642BA3D80B372B8B1F7" ma:contentTypeVersion="15" ma:contentTypeDescription="Create a new document." ma:contentTypeScope="" ma:versionID="c1c14975216d701b63492eb37de61744">
  <xsd:schema xmlns:xsd="http://www.w3.org/2001/XMLSchema" xmlns:xs="http://www.w3.org/2001/XMLSchema" xmlns:p="http://schemas.microsoft.com/office/2006/metadata/properties" xmlns:ns2="8fd1308e-ecf9-4768-870a-351d669d9aff" xmlns:ns3="dfa09759-eb4c-4e02-919d-0e3a6427242b" targetNamespace="http://schemas.microsoft.com/office/2006/metadata/properties" ma:root="true" ma:fieldsID="21b3ea67ea08f2bab764e95cc6330fe3" ns2:_="" ns3:_="">
    <xsd:import namespace="8fd1308e-ecf9-4768-870a-351d669d9aff"/>
    <xsd:import namespace="dfa09759-eb4c-4e02-919d-0e3a642724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1308e-ecf9-4768-870a-351d669d9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bd095d-6624-44e3-a3f6-44facda85b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09759-eb4c-4e02-919d-0e3a642724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f86ad4-4406-4d6b-90be-b1804b216d75}" ma:internalName="TaxCatchAll" ma:showField="CatchAllData" ma:web="dfa09759-eb4c-4e02-919d-0e3a6427242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d1308e-ecf9-4768-870a-351d669d9aff">
      <Terms xmlns="http://schemas.microsoft.com/office/infopath/2007/PartnerControls"/>
    </lcf76f155ced4ddcb4097134ff3c332f>
    <TaxCatchAll xmlns="dfa09759-eb4c-4e02-919d-0e3a6427242b"/>
  </documentManagement>
</p:properties>
</file>

<file path=customXml/itemProps1.xml><?xml version="1.0" encoding="utf-8"?>
<ds:datastoreItem xmlns:ds="http://schemas.openxmlformats.org/officeDocument/2006/customXml" ds:itemID="{F1D44B73-034F-423B-8809-6F0EE024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1308e-ecf9-4768-870a-351d669d9aff"/>
    <ds:schemaRef ds:uri="dfa09759-eb4c-4e02-919d-0e3a64272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78B56-3968-415E-BD61-F6EA9E523E32}">
  <ds:schemaRefs>
    <ds:schemaRef ds:uri="http://schemas.microsoft.com/sharepoint/v3/contenttype/forms"/>
  </ds:schemaRefs>
</ds:datastoreItem>
</file>

<file path=customXml/itemProps3.xml><?xml version="1.0" encoding="utf-8"?>
<ds:datastoreItem xmlns:ds="http://schemas.openxmlformats.org/officeDocument/2006/customXml" ds:itemID="{C13043CC-05FE-40C0-8906-2CBCD1BF3D9B}">
  <ds:schemaRefs>
    <ds:schemaRef ds:uri="http://schemas.microsoft.com/office/2006/documentManagement/types"/>
    <ds:schemaRef ds:uri="http://www.w3.org/XML/1998/namespace"/>
    <ds:schemaRef ds:uri="http://purl.org/dc/dcmitype/"/>
    <ds:schemaRef ds:uri="8fd1308e-ecf9-4768-870a-351d669d9aff"/>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dfa09759-eb4c-4e02-919d-0e3a6427242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Links>
    <vt:vector size="18" baseType="variant">
      <vt:variant>
        <vt:i4>7274620</vt:i4>
      </vt:variant>
      <vt:variant>
        <vt:i4>6</vt:i4>
      </vt:variant>
      <vt:variant>
        <vt:i4>0</vt:i4>
      </vt:variant>
      <vt:variant>
        <vt:i4>5</vt:i4>
      </vt:variant>
      <vt:variant>
        <vt:lpwstr>https://www.fiscal.treasury.gov/surety-bonds/circular-570.html</vt:lpwstr>
      </vt:variant>
      <vt:variant>
        <vt:lpwstr/>
      </vt:variant>
      <vt:variant>
        <vt:i4>1704031</vt:i4>
      </vt:variant>
      <vt:variant>
        <vt:i4>3</vt:i4>
      </vt:variant>
      <vt:variant>
        <vt:i4>0</vt:i4>
      </vt:variant>
      <vt:variant>
        <vt:i4>5</vt:i4>
      </vt:variant>
      <vt:variant>
        <vt:lpwstr>https://www.ntia.gov/sites/default/files/2025-06/bead-restructuring-policy-notice.pdf</vt:lpwstr>
      </vt:variant>
      <vt:variant>
        <vt:lpwstr/>
      </vt:variant>
      <vt:variant>
        <vt:i4>1704031</vt:i4>
      </vt:variant>
      <vt:variant>
        <vt:i4>0</vt:i4>
      </vt:variant>
      <vt:variant>
        <vt:i4>0</vt:i4>
      </vt:variant>
      <vt:variant>
        <vt:i4>5</vt:i4>
      </vt:variant>
      <vt:variant>
        <vt:lpwstr>https://www.ntia.gov/sites/default/files/2025-06/bead-restructuring-policy-notice.pdf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Park</dc:creator>
  <cp:keywords/>
  <dc:description/>
  <cp:lastModifiedBy>Julie Park</cp:lastModifiedBy>
  <cp:revision>2</cp:revision>
  <dcterms:created xsi:type="dcterms:W3CDTF">2025-07-14T20:14:00Z</dcterms:created>
  <dcterms:modified xsi:type="dcterms:W3CDTF">2025-07-14T20:14:00Z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0x0101007700C592A3D9B642BA3D80B372B8B1F7</vt:lpwstr>
  </property>
  <property fmtid="{D5CDD505-2E9C-101B-9397-08002B2CF9AE}" pid="3" name="MediaServiceImageTags">
    <vt:lpwstr/>
  </property>
</Properties>
</file>